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D6" w:rsidRPr="00847976" w:rsidRDefault="00876FD6" w:rsidP="00C57DA2">
      <w:pPr>
        <w:spacing w:line="260" w:lineRule="exact"/>
        <w:jc w:val="both"/>
        <w:rPr>
          <w:b/>
          <w:color w:val="000000"/>
          <w:sz w:val="22"/>
          <w:szCs w:val="22"/>
        </w:rPr>
      </w:pPr>
      <w:bookmarkStart w:id="0" w:name="_GoBack"/>
      <w:bookmarkEnd w:id="0"/>
      <w:r w:rsidRPr="00847976">
        <w:rPr>
          <w:b/>
          <w:color w:val="000000"/>
          <w:sz w:val="22"/>
          <w:szCs w:val="22"/>
        </w:rPr>
        <w:t xml:space="preserve">Válasz dr. Krenács Tibornak a feltett opponensi kérdéseire: </w:t>
      </w:r>
    </w:p>
    <w:p w:rsidR="00876FD6" w:rsidRPr="000554F2" w:rsidRDefault="00876FD6" w:rsidP="00657721">
      <w:pPr>
        <w:spacing w:line="260" w:lineRule="exact"/>
        <w:jc w:val="both"/>
        <w:rPr>
          <w:color w:val="000000"/>
          <w:sz w:val="22"/>
          <w:szCs w:val="22"/>
        </w:rPr>
      </w:pPr>
    </w:p>
    <w:p w:rsidR="00876FD6" w:rsidRPr="000554F2" w:rsidRDefault="00876FD6" w:rsidP="00657721">
      <w:pPr>
        <w:spacing w:line="260" w:lineRule="exact"/>
        <w:jc w:val="both"/>
        <w:rPr>
          <w:color w:val="000000"/>
          <w:sz w:val="22"/>
          <w:szCs w:val="22"/>
        </w:rPr>
      </w:pPr>
      <w:r w:rsidRPr="000554F2">
        <w:rPr>
          <w:color w:val="000000"/>
          <w:sz w:val="22"/>
          <w:szCs w:val="22"/>
        </w:rPr>
        <w:t xml:space="preserve">Hálásan köszönöm Krenács Tibor bírálói munkáját és köszönöm pozitív véleményét. </w:t>
      </w:r>
    </w:p>
    <w:p w:rsidR="00876FD6" w:rsidRPr="000554F2" w:rsidRDefault="00876FD6" w:rsidP="00657721">
      <w:pPr>
        <w:spacing w:line="260" w:lineRule="exact"/>
        <w:jc w:val="both"/>
        <w:rPr>
          <w:color w:val="000000"/>
          <w:sz w:val="22"/>
          <w:szCs w:val="22"/>
        </w:rPr>
      </w:pPr>
      <w:r w:rsidRPr="000554F2">
        <w:rPr>
          <w:color w:val="000000"/>
          <w:sz w:val="22"/>
          <w:szCs w:val="22"/>
        </w:rPr>
        <w:t xml:space="preserve">Feltett megjegyzéseire és kérdéseire az alábbiakban válaszolok: </w:t>
      </w:r>
    </w:p>
    <w:p w:rsidR="00876FD6" w:rsidRPr="000554F2" w:rsidRDefault="00876FD6" w:rsidP="00C213C5">
      <w:pPr>
        <w:spacing w:line="260" w:lineRule="exact"/>
        <w:jc w:val="both"/>
        <w:rPr>
          <w:color w:val="000000"/>
          <w:sz w:val="22"/>
          <w:szCs w:val="22"/>
        </w:rPr>
      </w:pPr>
    </w:p>
    <w:p w:rsidR="00876FD6" w:rsidRDefault="00876FD6" w:rsidP="00657721">
      <w:pPr>
        <w:spacing w:line="260" w:lineRule="exact"/>
        <w:jc w:val="both"/>
        <w:rPr>
          <w:b/>
          <w:color w:val="000000"/>
          <w:sz w:val="22"/>
          <w:szCs w:val="22"/>
        </w:rPr>
      </w:pPr>
      <w:r w:rsidRPr="00AD5D8E">
        <w:rPr>
          <w:b/>
          <w:color w:val="000000"/>
          <w:sz w:val="22"/>
          <w:szCs w:val="22"/>
        </w:rPr>
        <w:t xml:space="preserve">A formai és szakmai kritikai megjegyzések: </w:t>
      </w:r>
    </w:p>
    <w:p w:rsidR="00876FD6" w:rsidRPr="00AD5D8E" w:rsidRDefault="00876FD6" w:rsidP="00657721">
      <w:pPr>
        <w:spacing w:line="260" w:lineRule="exact"/>
        <w:jc w:val="both"/>
        <w:rPr>
          <w:b/>
          <w:color w:val="000000"/>
          <w:sz w:val="22"/>
          <w:szCs w:val="22"/>
        </w:rPr>
      </w:pPr>
    </w:p>
    <w:p w:rsidR="00876FD6" w:rsidRPr="000554F2" w:rsidRDefault="00876FD6" w:rsidP="00AF4DF4">
      <w:pPr>
        <w:spacing w:after="120" w:line="260" w:lineRule="exact"/>
        <w:jc w:val="both"/>
        <w:rPr>
          <w:color w:val="000000"/>
          <w:sz w:val="22"/>
          <w:szCs w:val="22"/>
        </w:rPr>
      </w:pPr>
      <w:r w:rsidRPr="000554F2">
        <w:rPr>
          <w:color w:val="000000"/>
          <w:sz w:val="22"/>
          <w:szCs w:val="22"/>
        </w:rPr>
        <w:t>A tábláz</w:t>
      </w:r>
      <w:r>
        <w:rPr>
          <w:color w:val="000000"/>
          <w:sz w:val="22"/>
          <w:szCs w:val="22"/>
        </w:rPr>
        <w:t>a</w:t>
      </w:r>
      <w:r w:rsidRPr="000554F2">
        <w:rPr>
          <w:color w:val="000000"/>
          <w:sz w:val="22"/>
          <w:szCs w:val="22"/>
        </w:rPr>
        <w:t xml:space="preserve">tok és ábrák áttekinthetőségével kapcsolatban tett megjegyzésével </w:t>
      </w:r>
      <w:r>
        <w:rPr>
          <w:color w:val="000000"/>
          <w:sz w:val="22"/>
          <w:szCs w:val="22"/>
        </w:rPr>
        <w:t>egyetértek. S</w:t>
      </w:r>
      <w:r w:rsidRPr="000554F2">
        <w:rPr>
          <w:color w:val="000000"/>
          <w:sz w:val="22"/>
          <w:szCs w:val="22"/>
        </w:rPr>
        <w:t xml:space="preserve">ajnos  az 5. táblázat, amiben kifogásolhatóak az egyes jelzések (csillag, vagy +) hasonlóan az összes ábrához az eredeti publikációban megjelent táblázatok és ábrák </w:t>
      </w:r>
      <w:r>
        <w:rPr>
          <w:color w:val="000000"/>
          <w:sz w:val="22"/>
          <w:szCs w:val="22"/>
        </w:rPr>
        <w:t xml:space="preserve">alapján </w:t>
      </w:r>
      <w:r w:rsidRPr="000554F2">
        <w:rPr>
          <w:color w:val="000000"/>
          <w:sz w:val="22"/>
          <w:szCs w:val="22"/>
        </w:rPr>
        <w:t xml:space="preserve">lettek </w:t>
      </w:r>
      <w:r>
        <w:rPr>
          <w:color w:val="000000"/>
          <w:sz w:val="22"/>
          <w:szCs w:val="22"/>
        </w:rPr>
        <w:t>újra</w:t>
      </w:r>
      <w:r w:rsidRPr="000554F2">
        <w:rPr>
          <w:color w:val="000000"/>
          <w:sz w:val="22"/>
          <w:szCs w:val="22"/>
        </w:rPr>
        <w:t xml:space="preserve">gépelve, ennek ellenére </w:t>
      </w:r>
      <w:r>
        <w:rPr>
          <w:color w:val="000000"/>
          <w:sz w:val="22"/>
          <w:szCs w:val="22"/>
        </w:rPr>
        <w:t xml:space="preserve">is </w:t>
      </w:r>
      <w:r w:rsidRPr="000554F2">
        <w:rPr>
          <w:color w:val="000000"/>
          <w:sz w:val="22"/>
          <w:szCs w:val="22"/>
        </w:rPr>
        <w:t>kevésbé látható</w:t>
      </w:r>
      <w:r>
        <w:rPr>
          <w:color w:val="000000"/>
          <w:sz w:val="22"/>
          <w:szCs w:val="22"/>
        </w:rPr>
        <w:t xml:space="preserve"> maradt</w:t>
      </w:r>
      <w:r w:rsidRPr="000554F2">
        <w:rPr>
          <w:color w:val="000000"/>
          <w:sz w:val="22"/>
          <w:szCs w:val="22"/>
        </w:rPr>
        <w:t>.</w:t>
      </w:r>
    </w:p>
    <w:p w:rsidR="00876FD6" w:rsidRPr="000554F2" w:rsidRDefault="00876FD6" w:rsidP="00AF4DF4">
      <w:pPr>
        <w:spacing w:after="120" w:line="260" w:lineRule="exact"/>
        <w:jc w:val="both"/>
        <w:rPr>
          <w:color w:val="000000"/>
          <w:sz w:val="22"/>
          <w:szCs w:val="22"/>
        </w:rPr>
      </w:pPr>
      <w:r w:rsidRPr="000554F2">
        <w:rPr>
          <w:color w:val="000000"/>
          <w:sz w:val="22"/>
          <w:szCs w:val="22"/>
        </w:rPr>
        <w:t>A 49. ábra immunhisztokémiai feldolgozását Londonban végezték el, így az ottani laboratóriumból kapott képek minőségén, sajnos nem volt módunk változtatni. A specifikus nukleáris WEE1 reakció megítélését az ott dolgozó patológus kollégák végezték.</w:t>
      </w:r>
    </w:p>
    <w:p w:rsidR="00876FD6" w:rsidRPr="000554F2" w:rsidRDefault="00876FD6" w:rsidP="00AF4DF4">
      <w:pPr>
        <w:spacing w:after="120" w:line="260" w:lineRule="exact"/>
        <w:jc w:val="both"/>
        <w:rPr>
          <w:color w:val="000000"/>
          <w:sz w:val="22"/>
          <w:szCs w:val="22"/>
        </w:rPr>
      </w:pPr>
      <w:r w:rsidRPr="000554F2">
        <w:rPr>
          <w:color w:val="000000"/>
          <w:sz w:val="22"/>
          <w:szCs w:val="22"/>
        </w:rPr>
        <w:t>A néhol következetlen, pontatlan, vagy félreérthető megfogalmazásáért valamint a latinos (vagy angol) és magyaros írásmód keveredéséért elnézést kérek. Kiemelném a 19. oldalon talán félreérthető a menin GFAP és vimentin kapcsolatáról írt mondatot. A kifogásolt mondat „Kimutatták, hogy a GFAP az intermedier filamentum része”… hivatkozik az előző mondatra, amiben a menin funkciójáról írtam: „</w:t>
      </w:r>
      <w:r w:rsidRPr="000554F2">
        <w:rPr>
          <w:sz w:val="22"/>
          <w:szCs w:val="22"/>
        </w:rPr>
        <w:t>Bár a menin alapvetően nukleáris lokalizációjú fehérje, több munkacsoport beszámolt a menin citoplazmában való szekvesztrációjáról [22–24]. Kimutatták, hogy a GFAP (gliális fibrilláris savas protein) az intermedier filamentum (IF) része, melyben a vimentin az egyik fő alkotóelem”. Érzésem szerint ebben nem állítottam, hogy ez a mi munkánk lenne, végig harmadik személyben fogalmaztam és a szükséges referenciákat is hivatkoztam. Bízom benne, hogy ez nem félreérthető.</w:t>
      </w:r>
    </w:p>
    <w:p w:rsidR="00876FD6" w:rsidRPr="000554F2" w:rsidRDefault="00876FD6" w:rsidP="00BF27ED">
      <w:pPr>
        <w:jc w:val="both"/>
        <w:rPr>
          <w:color w:val="000000"/>
          <w:sz w:val="22"/>
          <w:szCs w:val="22"/>
        </w:rPr>
      </w:pPr>
      <w:r w:rsidRPr="000554F2">
        <w:rPr>
          <w:color w:val="000000"/>
          <w:sz w:val="22"/>
          <w:szCs w:val="22"/>
        </w:rPr>
        <w:t>Egyetértek a bírálóval abban, hogy a 91. old. Bemutatott, „A mitokondriális metabolikus aktivitást jelző alamarBlue inkább életképesség, mint proliferáció mérésére alkalmas, bár kétségtelen, hogy ha párhuzamosan az pusztuló apoptotikus frakciót is méri, az alamarBlue teszt mutathat összefüggést a sejtvisszapótlás mértékével. Munkánkban</w:t>
      </w:r>
      <w:r>
        <w:rPr>
          <w:color w:val="000000"/>
          <w:sz w:val="22"/>
          <w:szCs w:val="22"/>
        </w:rPr>
        <w:t xml:space="preserve"> során</w:t>
      </w:r>
      <w:r w:rsidRPr="000554F2">
        <w:rPr>
          <w:color w:val="000000"/>
          <w:sz w:val="22"/>
          <w:szCs w:val="22"/>
        </w:rPr>
        <w:t xml:space="preserve"> egyidejűleg meghatározásra került az apoptózis mértéke, valamint a sejtciklus vizsgálata is, amely eredményeket a 68. ábra tartalmazza. </w:t>
      </w:r>
    </w:p>
    <w:p w:rsidR="00876FD6" w:rsidRPr="000554F2" w:rsidRDefault="00876FD6" w:rsidP="00BF27ED">
      <w:pPr>
        <w:jc w:val="both"/>
        <w:rPr>
          <w:color w:val="000000"/>
          <w:sz w:val="22"/>
          <w:szCs w:val="22"/>
        </w:rPr>
      </w:pPr>
    </w:p>
    <w:p w:rsidR="00876FD6" w:rsidRPr="000554F2" w:rsidRDefault="00876FD6" w:rsidP="00BF27ED">
      <w:pPr>
        <w:jc w:val="both"/>
        <w:rPr>
          <w:sz w:val="22"/>
          <w:szCs w:val="22"/>
        </w:rPr>
      </w:pPr>
      <w:r w:rsidRPr="000554F2">
        <w:rPr>
          <w:color w:val="000000"/>
          <w:sz w:val="22"/>
          <w:szCs w:val="22"/>
        </w:rPr>
        <w:t>A Vybrant DyeCycle Orange festéknek a sejtvonalak életképességére és a sejtciklus funkcióira gyakorolt hatását több módon elemeztük. A jelzett festékkel elválasztott sejtekből izolált RNS minősége megegyezett a festékkel nem jelze</w:t>
      </w:r>
      <w:r>
        <w:rPr>
          <w:color w:val="000000"/>
          <w:sz w:val="22"/>
          <w:szCs w:val="22"/>
        </w:rPr>
        <w:t>t</w:t>
      </w:r>
      <w:r w:rsidRPr="000554F2">
        <w:rPr>
          <w:color w:val="000000"/>
          <w:sz w:val="22"/>
          <w:szCs w:val="22"/>
        </w:rPr>
        <w:t xml:space="preserve">t sejtekével. A három különböző sejtvonalból készített teljes genomos génexpressziós mérés adataival elvégzett </w:t>
      </w:r>
      <w:r w:rsidRPr="000554F2">
        <w:rPr>
          <w:sz w:val="22"/>
          <w:szCs w:val="22"/>
        </w:rPr>
        <w:t>bioinformatikai útvonal-analízis mindhárom esetben a sejtciklussal szorosan összefüggő biológiai útvonalakat (a “sejtciklus”, a “sejtszintű összeszerelés és elrendezés” valamint a “DNS replikáció, rekombináció és javítás”) mutatott, szemben a szinkronizációs eljárást követő génexpressziós mintázatokkal, ahol a szinkronizálásra specifikus gének által meghatározott folyamatok közül kiemelendőek voltak a ”DNS javítás”, ”DNS károsodásra adott válasz” és a ”sejtszintű stressz-válasz” folyamatok, arra utalva, hogy a szinkronizációs eljárások az általunk kifejlesztett sejtválogatásnál nagyobb mértékben befolyásolják a sejtek életképességét. A sikeres sejtválogatást minden esetben egy kontroll áramlási citometriás mérés követett, amelynek során a sejtciklus újra elemzésére került sor.</w:t>
      </w:r>
    </w:p>
    <w:p w:rsidR="00876FD6" w:rsidRPr="000554F2" w:rsidRDefault="00876FD6" w:rsidP="00AF4DF4">
      <w:pPr>
        <w:spacing w:after="120" w:line="260" w:lineRule="exact"/>
        <w:jc w:val="both"/>
        <w:rPr>
          <w:color w:val="000000"/>
          <w:sz w:val="22"/>
          <w:szCs w:val="22"/>
        </w:rPr>
      </w:pPr>
      <w:r w:rsidRPr="000554F2">
        <w:rPr>
          <w:color w:val="000000"/>
          <w:sz w:val="22"/>
          <w:szCs w:val="22"/>
        </w:rPr>
        <w:t>Egyetértek a bírálóval a Menin immunhisztokémiai kimutatáshoz írt megjegyzésével.</w:t>
      </w:r>
    </w:p>
    <w:p w:rsidR="00876FD6" w:rsidRPr="000554F2" w:rsidRDefault="00876FD6" w:rsidP="00AF4DF4">
      <w:pPr>
        <w:spacing w:after="120" w:line="260" w:lineRule="exact"/>
        <w:jc w:val="both"/>
        <w:rPr>
          <w:color w:val="000000"/>
          <w:sz w:val="22"/>
          <w:szCs w:val="22"/>
        </w:rPr>
      </w:pPr>
      <w:r w:rsidRPr="000554F2">
        <w:rPr>
          <w:color w:val="000000"/>
          <w:sz w:val="22"/>
          <w:szCs w:val="22"/>
        </w:rPr>
        <w:t>Természetesen szintén helyes a megállapítás, hogy a mitokondrium diszfunkció az SDH funkcióvesztés következménye (113. old.).</w:t>
      </w:r>
    </w:p>
    <w:p w:rsidR="00876FD6" w:rsidRPr="000554F2" w:rsidRDefault="00876FD6" w:rsidP="00AF4DF4">
      <w:pPr>
        <w:spacing w:after="120" w:line="260" w:lineRule="exact"/>
        <w:jc w:val="both"/>
        <w:rPr>
          <w:color w:val="000000"/>
          <w:sz w:val="22"/>
          <w:szCs w:val="22"/>
        </w:rPr>
      </w:pPr>
      <w:r w:rsidRPr="000554F2">
        <w:rPr>
          <w:color w:val="000000"/>
          <w:sz w:val="22"/>
          <w:szCs w:val="22"/>
        </w:rPr>
        <w:t>A 167. oldalon kifogásolt mondatban, ahol a sejtciklus szinkronizált egyébként tenyészetben proliferáló, ”HDFa sejtekben statisztikai analízis nem detektált szignifikánsan eltérő gént”, arra vonatkozott, hogy a teljes geno</w:t>
      </w:r>
      <w:r>
        <w:rPr>
          <w:color w:val="000000"/>
          <w:sz w:val="22"/>
          <w:szCs w:val="22"/>
        </w:rPr>
        <w:t>m</w:t>
      </w:r>
      <w:r w:rsidRPr="000554F2">
        <w:rPr>
          <w:color w:val="000000"/>
          <w:sz w:val="22"/>
          <w:szCs w:val="22"/>
        </w:rPr>
        <w:t>os génexpressziós mérés, a szigorú, poszthoc teszttel kiegészített statisztikai eljárás nem mutatott szignifikáns géneltérést, de a 61. ábrán bemutatott egyedi génexpressziós mérések igazolták, azokat a szignifikáns összefüggéseket, amelyeket a 2 daganatos sejtvonalban már a microarray mérések is kimutattak.</w:t>
      </w:r>
    </w:p>
    <w:p w:rsidR="00876FD6" w:rsidRPr="000554F2" w:rsidRDefault="00876FD6" w:rsidP="00AF4DF4">
      <w:pPr>
        <w:spacing w:after="120" w:line="260" w:lineRule="exact"/>
        <w:jc w:val="both"/>
        <w:rPr>
          <w:color w:val="000000"/>
          <w:sz w:val="22"/>
          <w:szCs w:val="22"/>
        </w:rPr>
      </w:pPr>
      <w:r w:rsidRPr="000554F2">
        <w:rPr>
          <w:color w:val="000000"/>
          <w:sz w:val="22"/>
          <w:szCs w:val="22"/>
        </w:rPr>
        <w:t xml:space="preserve">A 172. oldalon bemutatott mellékvesekéregrák malignitás-mintázatának vizsgálatához a kutatócsoport korábban elvégzett mellékvesedaganatok feldolgozása mellett két másik tanulmányból elérhető génexpressziós adatokat </w:t>
      </w:r>
      <w:r>
        <w:rPr>
          <w:color w:val="000000"/>
          <w:sz w:val="22"/>
          <w:szCs w:val="22"/>
        </w:rPr>
        <w:t>elemeztük</w:t>
      </w:r>
      <w:r w:rsidRPr="000554F2">
        <w:rPr>
          <w:color w:val="000000"/>
          <w:sz w:val="22"/>
          <w:szCs w:val="22"/>
        </w:rPr>
        <w:t>. Összesen 216 mellékvesedaganat génexpressziós mintázata volt elérhető. Az RRM2 expresszió validáláshoz 12 mellékvesekéregrák vizsgálatát végeztük el.</w:t>
      </w:r>
    </w:p>
    <w:p w:rsidR="00876FD6" w:rsidRPr="000554F2" w:rsidRDefault="00876FD6" w:rsidP="00391CFA">
      <w:pPr>
        <w:spacing w:line="260" w:lineRule="exact"/>
        <w:jc w:val="both"/>
        <w:rPr>
          <w:color w:val="000000"/>
          <w:sz w:val="22"/>
          <w:szCs w:val="22"/>
        </w:rPr>
      </w:pPr>
    </w:p>
    <w:p w:rsidR="00876FD6" w:rsidRDefault="00876FD6" w:rsidP="00657721">
      <w:pPr>
        <w:spacing w:line="260" w:lineRule="exact"/>
        <w:jc w:val="both"/>
        <w:rPr>
          <w:b/>
          <w:color w:val="000000"/>
          <w:sz w:val="22"/>
          <w:szCs w:val="22"/>
        </w:rPr>
      </w:pPr>
      <w:r w:rsidRPr="000554F2">
        <w:rPr>
          <w:b/>
          <w:color w:val="000000"/>
          <w:sz w:val="22"/>
          <w:szCs w:val="22"/>
        </w:rPr>
        <w:t>További kérdések és az arra adott válaszok:</w:t>
      </w:r>
    </w:p>
    <w:p w:rsidR="00876FD6" w:rsidRPr="000554F2" w:rsidRDefault="00876FD6" w:rsidP="00657721">
      <w:pPr>
        <w:spacing w:line="260" w:lineRule="exact"/>
        <w:jc w:val="both"/>
        <w:rPr>
          <w:b/>
          <w:color w:val="000000"/>
          <w:sz w:val="22"/>
          <w:szCs w:val="22"/>
        </w:rPr>
      </w:pPr>
    </w:p>
    <w:p w:rsidR="00876FD6" w:rsidRPr="000554F2" w:rsidRDefault="00876FD6" w:rsidP="00751187">
      <w:pPr>
        <w:pStyle w:val="ListParagraph"/>
        <w:numPr>
          <w:ilvl w:val="0"/>
          <w:numId w:val="9"/>
        </w:numPr>
        <w:spacing w:after="120" w:line="260" w:lineRule="exact"/>
        <w:ind w:left="714" w:hanging="357"/>
        <w:contextualSpacing w:val="0"/>
        <w:jc w:val="both"/>
        <w:rPr>
          <w:rFonts w:ascii="Times New Roman" w:hAnsi="Times New Roman"/>
          <w:color w:val="auto"/>
          <w:szCs w:val="22"/>
        </w:rPr>
      </w:pPr>
      <w:r w:rsidRPr="000554F2">
        <w:rPr>
          <w:rFonts w:ascii="Times New Roman" w:hAnsi="Times New Roman"/>
          <w:szCs w:val="22"/>
        </w:rPr>
        <w:t xml:space="preserve">A keringő hsa-miR-483-5p szint szignifikáns összefüggését találta a mellékvesekéreg karcinomák megjelenésével. Ismert, hogy a mikro-RNS-ek számtalan célponttal rendelkeznek, ezért adódik a kérdés, hogy pl. a miR-483-5p részt vesz-e egyéb, pl. gyulladásos, vagy regeneratív folyamatok szabályozásában is és ha igen, mennyiben befolyásolja ez biomarkerként a mellékvesekéreg karcinomákra vonatkozó specificitását? Ha nem, akkor </w:t>
      </w:r>
      <w:r w:rsidRPr="000554F2">
        <w:rPr>
          <w:rFonts w:ascii="Times New Roman" w:hAnsi="Times New Roman"/>
          <w:color w:val="auto"/>
          <w:szCs w:val="22"/>
        </w:rPr>
        <w:t>femerülhet-e terápiás célpontként, jelentősebb mellékhatások nélkül?</w:t>
      </w:r>
    </w:p>
    <w:p w:rsidR="00876FD6" w:rsidRDefault="00876FD6" w:rsidP="000554F2">
      <w:pPr>
        <w:ind w:left="357"/>
        <w:jc w:val="both"/>
        <w:rPr>
          <w:sz w:val="22"/>
          <w:szCs w:val="22"/>
        </w:rPr>
      </w:pPr>
      <w:r w:rsidRPr="000554F2">
        <w:rPr>
          <w:sz w:val="22"/>
          <w:szCs w:val="22"/>
        </w:rPr>
        <w:t>Válasz: Köszönöm a bíráló kérdését. A mikroRNS-ek valóban redundáns hatással bírnak, egy mikr</w:t>
      </w:r>
      <w:r>
        <w:rPr>
          <w:sz w:val="22"/>
          <w:szCs w:val="22"/>
        </w:rPr>
        <w:t>o</w:t>
      </w:r>
      <w:r w:rsidRPr="000554F2">
        <w:rPr>
          <w:sz w:val="22"/>
          <w:szCs w:val="22"/>
        </w:rPr>
        <w:t>RNS számos célgénnek az expresszióját képes befolyásolni. A miR-483-5p az IGF2-t kódoló gén intronjában található és mint ilyen fokozott expresszióját a rosszindulat</w:t>
      </w:r>
      <w:r>
        <w:rPr>
          <w:sz w:val="22"/>
          <w:szCs w:val="22"/>
        </w:rPr>
        <w:t>ú</w:t>
      </w:r>
      <w:r w:rsidRPr="000554F2">
        <w:rPr>
          <w:sz w:val="22"/>
          <w:szCs w:val="22"/>
        </w:rPr>
        <w:t xml:space="preserve"> mellékve</w:t>
      </w:r>
      <w:r>
        <w:rPr>
          <w:sz w:val="22"/>
          <w:szCs w:val="22"/>
        </w:rPr>
        <w:t>s</w:t>
      </w:r>
      <w:r w:rsidRPr="000554F2">
        <w:rPr>
          <w:sz w:val="22"/>
          <w:szCs w:val="22"/>
        </w:rPr>
        <w:t>ekéreg daganatokban várhattuk</w:t>
      </w:r>
      <w:r>
        <w:rPr>
          <w:sz w:val="22"/>
          <w:szCs w:val="22"/>
        </w:rPr>
        <w:t xml:space="preserve"> is</w:t>
      </w:r>
      <w:r w:rsidRPr="000554F2">
        <w:rPr>
          <w:sz w:val="22"/>
          <w:szCs w:val="22"/>
        </w:rPr>
        <w:t xml:space="preserve">, hiszen az IGF2 overexpresszió volt az első biztos </w:t>
      </w:r>
      <w:r>
        <w:rPr>
          <w:sz w:val="22"/>
          <w:szCs w:val="22"/>
        </w:rPr>
        <w:t xml:space="preserve">genetikai </w:t>
      </w:r>
      <w:r w:rsidRPr="000554F2">
        <w:rPr>
          <w:sz w:val="22"/>
          <w:szCs w:val="22"/>
        </w:rPr>
        <w:t>marker ezekben a daganatokban. Erről a mikroRNS-ről viszonylag kevés validált célgén ismert, de pl. a TGFβ-1 expressziót befolyásolta chondrocitákban (</w:t>
      </w:r>
      <w:hyperlink r:id="rId7" w:history="1">
        <w:r w:rsidRPr="000554F2">
          <w:rPr>
            <w:sz w:val="22"/>
            <w:szCs w:val="22"/>
          </w:rPr>
          <w:t>Xu R</w:t>
        </w:r>
      </w:hyperlink>
      <w:r>
        <w:rPr>
          <w:sz w:val="22"/>
          <w:szCs w:val="22"/>
        </w:rPr>
        <w:t xml:space="preserve"> és mtsai.</w:t>
      </w:r>
      <w:r w:rsidRPr="000554F2">
        <w:rPr>
          <w:bCs/>
          <w:kern w:val="36"/>
          <w:sz w:val="22"/>
          <w:szCs w:val="22"/>
        </w:rPr>
        <w:t xml:space="preserve"> MicroRNA-483-5p Modulates the Expression of Cartilage-Related Genes in Human Chondrocytes through Down-Regulating TGF-â1 Expression. </w:t>
      </w:r>
      <w:hyperlink r:id="rId8" w:tooltip="The Tohoku journal of experimental medicine." w:history="1">
        <w:r w:rsidRPr="000554F2">
          <w:rPr>
            <w:sz w:val="22"/>
            <w:szCs w:val="22"/>
          </w:rPr>
          <w:t>Tohoku J Exp Med.</w:t>
        </w:r>
      </w:hyperlink>
      <w:r w:rsidRPr="000554F2">
        <w:rPr>
          <w:sz w:val="22"/>
          <w:szCs w:val="22"/>
        </w:rPr>
        <w:t xml:space="preserve"> 2017 Sep;243(1):41-48.). és az RBM5 tumorszuppresszor gén expresszióját prosztata carcinoma sejtvonalakban (</w:t>
      </w:r>
      <w:hyperlink r:id="rId9" w:history="1">
        <w:r w:rsidRPr="000554F2">
          <w:rPr>
            <w:sz w:val="22"/>
            <w:szCs w:val="22"/>
          </w:rPr>
          <w:t>Yang ZG</w:t>
        </w:r>
      </w:hyperlink>
      <w:r>
        <w:rPr>
          <w:sz w:val="22"/>
          <w:szCs w:val="22"/>
        </w:rPr>
        <w:t xml:space="preserve"> és mtsai: </w:t>
      </w:r>
      <w:r w:rsidRPr="000554F2">
        <w:rPr>
          <w:bCs/>
          <w:kern w:val="36"/>
          <w:sz w:val="22"/>
          <w:szCs w:val="22"/>
        </w:rPr>
        <w:t xml:space="preserve">miR-483-5p promotes prostate cancer cell proliferation and invasion by targeting RBM5. </w:t>
      </w:r>
      <w:hyperlink r:id="rId10" w:tooltip="International braz j urol : official journal of the Brazilian Society of Urology." w:history="1">
        <w:r w:rsidRPr="000554F2">
          <w:rPr>
            <w:sz w:val="22"/>
            <w:szCs w:val="22"/>
          </w:rPr>
          <w:t>Int Braz J Urol.</w:t>
        </w:r>
      </w:hyperlink>
      <w:r w:rsidRPr="000554F2">
        <w:rPr>
          <w:sz w:val="22"/>
          <w:szCs w:val="22"/>
        </w:rPr>
        <w:t xml:space="preserve"> 2017 Nov-Dec;43(6):1060-1067.). A diagnosztikában történő alkalmazására irányulva fontos megfigyelésünk volt, hogy a keringésből is kimutatható</w:t>
      </w:r>
      <w:r>
        <w:rPr>
          <w:sz w:val="22"/>
          <w:szCs w:val="22"/>
        </w:rPr>
        <w:t>, jól mérhető</w:t>
      </w:r>
      <w:r w:rsidRPr="000554F2">
        <w:rPr>
          <w:sz w:val="22"/>
          <w:szCs w:val="22"/>
        </w:rPr>
        <w:t xml:space="preserve"> és expresszióját nem befolyásolják azok a hormon tesztek, amelyeket a mellékvesedaganatos betegek endokrinológiai kivizsgálása során alkalmaznak</w:t>
      </w:r>
      <w:r>
        <w:rPr>
          <w:sz w:val="22"/>
          <w:szCs w:val="22"/>
        </w:rPr>
        <w:t>, így biomarkerként történő használata továbbra is indokolt lehet.</w:t>
      </w:r>
    </w:p>
    <w:p w:rsidR="00876FD6" w:rsidRPr="000554F2" w:rsidRDefault="00876FD6" w:rsidP="000554F2">
      <w:pPr>
        <w:ind w:left="357"/>
        <w:jc w:val="both"/>
        <w:rPr>
          <w:bCs/>
          <w:kern w:val="36"/>
          <w:sz w:val="22"/>
          <w:szCs w:val="22"/>
        </w:rPr>
      </w:pPr>
      <w:r w:rsidRPr="000554F2">
        <w:rPr>
          <w:sz w:val="22"/>
          <w:szCs w:val="22"/>
        </w:rPr>
        <w:t>Terápiás célpontként történő alkalmazásának a korlátja elsősorban a mellékvesekéregbe történő célzott bejuttatása tűnik. Jelenleg nem találtam olyan munkát, amely ennek a mikroRNS-nek a gátlását alkalmazná terápia fejlesztés céljára.</w:t>
      </w:r>
    </w:p>
    <w:p w:rsidR="00876FD6" w:rsidRPr="000554F2" w:rsidRDefault="00876FD6" w:rsidP="00751187">
      <w:pPr>
        <w:outlineLvl w:val="0"/>
        <w:rPr>
          <w:sz w:val="22"/>
          <w:szCs w:val="22"/>
        </w:rPr>
      </w:pPr>
    </w:p>
    <w:p w:rsidR="00876FD6" w:rsidRPr="000554F2" w:rsidRDefault="00876FD6" w:rsidP="00F05830">
      <w:pPr>
        <w:pStyle w:val="ListParagraph"/>
        <w:numPr>
          <w:ilvl w:val="0"/>
          <w:numId w:val="9"/>
        </w:numPr>
        <w:spacing w:after="120" w:line="260" w:lineRule="exact"/>
        <w:ind w:left="714" w:hanging="357"/>
        <w:contextualSpacing w:val="0"/>
        <w:jc w:val="both"/>
        <w:rPr>
          <w:rFonts w:ascii="Times New Roman" w:hAnsi="Times New Roman"/>
          <w:szCs w:val="22"/>
        </w:rPr>
      </w:pPr>
      <w:r w:rsidRPr="000554F2">
        <w:rPr>
          <w:rFonts w:ascii="Times New Roman" w:hAnsi="Times New Roman"/>
          <w:szCs w:val="22"/>
        </w:rPr>
        <w:t>A TGFb mikro-RNS szabályozása mutat-e átfedést más szolid tumorok kialakulásához, progressziójához, vagy teljesen más a mikro-RNA profiljuk, mint az endokrin daganatokban?</w:t>
      </w:r>
    </w:p>
    <w:p w:rsidR="00876FD6" w:rsidRPr="000554F2" w:rsidRDefault="00876FD6" w:rsidP="000554F2">
      <w:pPr>
        <w:pStyle w:val="Heading1"/>
        <w:ind w:left="357"/>
        <w:jc w:val="both"/>
        <w:rPr>
          <w:b w:val="0"/>
          <w:sz w:val="22"/>
          <w:szCs w:val="22"/>
        </w:rPr>
      </w:pPr>
      <w:r w:rsidRPr="000554F2">
        <w:rPr>
          <w:b w:val="0"/>
          <w:sz w:val="22"/>
          <w:szCs w:val="22"/>
        </w:rPr>
        <w:t>Válasz: Nagyon köszönöm a kérdést. Az endokrin daganatok mikroRNS mintázata eltér a többi szolid tumorban kimutatott mikroRNS profiltól</w:t>
      </w:r>
      <w:r>
        <w:rPr>
          <w:b w:val="0"/>
          <w:sz w:val="22"/>
          <w:szCs w:val="22"/>
        </w:rPr>
        <w:t xml:space="preserve"> hiszen a mikroRNS egyik fő jellegzetessége a sejt/szövet-specificitás.</w:t>
      </w:r>
      <w:r w:rsidRPr="000554F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T</w:t>
      </w:r>
      <w:r w:rsidRPr="000554F2">
        <w:rPr>
          <w:b w:val="0"/>
          <w:sz w:val="22"/>
          <w:szCs w:val="22"/>
        </w:rPr>
        <w:t>ermészetesen egyes jól karakterizált mikroRNS-ek, mint pl</w:t>
      </w:r>
      <w:r>
        <w:rPr>
          <w:b w:val="0"/>
          <w:sz w:val="22"/>
          <w:szCs w:val="22"/>
        </w:rPr>
        <w:t>.</w:t>
      </w:r>
      <w:r w:rsidRPr="000554F2">
        <w:rPr>
          <w:b w:val="0"/>
          <w:sz w:val="22"/>
          <w:szCs w:val="22"/>
        </w:rPr>
        <w:t xml:space="preserve"> az elsősorban onkomir hatású miR-21, miR-155, vagy a főleg tumorszuppresszor mikroRNS-ek mint pl. a let-7 család vagy miR-15, miR-16 ugyanolyan mintázatot mutat</w:t>
      </w:r>
      <w:r>
        <w:rPr>
          <w:b w:val="0"/>
          <w:sz w:val="22"/>
          <w:szCs w:val="22"/>
        </w:rPr>
        <w:t>nak az endokrin daganatokban mint a szolid tumorokban</w:t>
      </w:r>
      <w:r w:rsidRPr="000554F2">
        <w:rPr>
          <w:b w:val="0"/>
          <w:sz w:val="22"/>
          <w:szCs w:val="22"/>
        </w:rPr>
        <w:t xml:space="preserve">. Ezek közül a TGFβ család tagjai expresszióját </w:t>
      </w:r>
      <w:r>
        <w:rPr>
          <w:b w:val="0"/>
          <w:sz w:val="22"/>
          <w:szCs w:val="22"/>
        </w:rPr>
        <w:t xml:space="preserve">is </w:t>
      </w:r>
      <w:r w:rsidRPr="000554F2">
        <w:rPr>
          <w:b w:val="0"/>
          <w:sz w:val="22"/>
          <w:szCs w:val="22"/>
        </w:rPr>
        <w:t>befolyásoló mikroRNS a miR-</w:t>
      </w:r>
      <w:smartTag w:uri="urn:schemas-microsoft-com:office:smarttags" w:element="metricconverter">
        <w:smartTagPr>
          <w:attr w:name="ProductID" w:val="21 a"/>
        </w:smartTagPr>
        <w:r w:rsidRPr="000554F2">
          <w:rPr>
            <w:b w:val="0"/>
            <w:sz w:val="22"/>
            <w:szCs w:val="22"/>
          </w:rPr>
          <w:t>21 a</w:t>
        </w:r>
      </w:smartTag>
      <w:r w:rsidRPr="000554F2">
        <w:rPr>
          <w:b w:val="0"/>
          <w:sz w:val="22"/>
          <w:szCs w:val="22"/>
        </w:rPr>
        <w:t xml:space="preserve"> TGFβR2, TGFβR3, BMPR2-t célozza U251 és U</w:t>
      </w:r>
      <w:r>
        <w:rPr>
          <w:b w:val="0"/>
          <w:sz w:val="22"/>
          <w:szCs w:val="22"/>
        </w:rPr>
        <w:t>87 glioblastoma sejtekben és</w:t>
      </w:r>
      <w:r w:rsidRPr="000554F2">
        <w:rPr>
          <w:b w:val="0"/>
          <w:sz w:val="22"/>
          <w:szCs w:val="22"/>
        </w:rPr>
        <w:t xml:space="preserve"> leiomyom</w:t>
      </w:r>
      <w:r>
        <w:rPr>
          <w:b w:val="0"/>
          <w:sz w:val="22"/>
          <w:szCs w:val="22"/>
        </w:rPr>
        <w:t>á</w:t>
      </w:r>
      <w:r w:rsidRPr="000554F2">
        <w:rPr>
          <w:b w:val="0"/>
          <w:sz w:val="22"/>
          <w:szCs w:val="22"/>
        </w:rPr>
        <w:t>ban és a SMAD7-t tüdőben és májszövetben, a miR-</w:t>
      </w:r>
      <w:smartTag w:uri="urn:schemas-microsoft-com:office:smarttags" w:element="metricconverter">
        <w:smartTagPr>
          <w:attr w:name="ProductID" w:val="155 a"/>
        </w:smartTagPr>
        <w:r w:rsidRPr="000554F2">
          <w:rPr>
            <w:b w:val="0"/>
            <w:sz w:val="22"/>
            <w:szCs w:val="22"/>
          </w:rPr>
          <w:t>155 a</w:t>
        </w:r>
      </w:smartTag>
      <w:r w:rsidRPr="000554F2">
        <w:rPr>
          <w:b w:val="0"/>
          <w:sz w:val="22"/>
          <w:szCs w:val="22"/>
        </w:rPr>
        <w:t xml:space="preserve"> SMAD5 expresszióját gátolja elsősorban diffúz nagy B-sejtes limfómában,</w:t>
      </w:r>
      <w:r>
        <w:rPr>
          <w:b w:val="0"/>
          <w:sz w:val="22"/>
          <w:szCs w:val="22"/>
        </w:rPr>
        <w:t xml:space="preserve"> míg a SMAD</w:t>
      </w:r>
      <w:r w:rsidRPr="000554F2">
        <w:rPr>
          <w:b w:val="0"/>
          <w:sz w:val="22"/>
          <w:szCs w:val="22"/>
        </w:rPr>
        <w:t>1-t Burkitt limfómában. Természetesen a kapcs</w:t>
      </w:r>
      <w:r>
        <w:rPr>
          <w:b w:val="0"/>
          <w:sz w:val="22"/>
          <w:szCs w:val="22"/>
        </w:rPr>
        <w:t>o</w:t>
      </w:r>
      <w:r w:rsidRPr="000554F2">
        <w:rPr>
          <w:b w:val="0"/>
          <w:sz w:val="22"/>
          <w:szCs w:val="22"/>
        </w:rPr>
        <w:t>l</w:t>
      </w:r>
      <w:r>
        <w:rPr>
          <w:b w:val="0"/>
          <w:sz w:val="22"/>
          <w:szCs w:val="22"/>
        </w:rPr>
        <w:t>a</w:t>
      </w:r>
      <w:r w:rsidRPr="000554F2">
        <w:rPr>
          <w:b w:val="0"/>
          <w:sz w:val="22"/>
          <w:szCs w:val="22"/>
        </w:rPr>
        <w:t xml:space="preserve">t a TGFβ és mikroRNS-ek között sem egyirányú. Számos olyan mikroRNS ismert, amelyek expressziója TGF kezelést követően </w:t>
      </w:r>
      <w:r>
        <w:rPr>
          <w:b w:val="0"/>
          <w:sz w:val="22"/>
          <w:szCs w:val="22"/>
        </w:rPr>
        <w:t>változik</w:t>
      </w:r>
      <w:r w:rsidRPr="000554F2">
        <w:rPr>
          <w:b w:val="0"/>
          <w:sz w:val="22"/>
          <w:szCs w:val="22"/>
        </w:rPr>
        <w:t>. A korábban említett mikroRNS-ek közül a miR-155 expressziója tüdő fibroblasztokban, a miR-21 emlőrákban</w:t>
      </w:r>
      <w:r>
        <w:rPr>
          <w:b w:val="0"/>
          <w:sz w:val="22"/>
          <w:szCs w:val="22"/>
        </w:rPr>
        <w:t xml:space="preserve"> és a vese tu</w:t>
      </w:r>
      <w:r w:rsidRPr="000554F2">
        <w:rPr>
          <w:b w:val="0"/>
          <w:sz w:val="22"/>
          <w:szCs w:val="22"/>
        </w:rPr>
        <w:t>bulus epitél sejtekben indukálódott TGF adást követően. A TGFβ és mikroRNS-ek közötti bidirekcionális kapcsolatról a Trends is Pharmaceutical Science-ben közöltünk összefoglaló tanulmányt. (</w:t>
      </w:r>
      <w:hyperlink r:id="rId11" w:history="1">
        <w:r w:rsidRPr="000554F2">
          <w:rPr>
            <w:rStyle w:val="highlight"/>
            <w:b w:val="0"/>
            <w:sz w:val="22"/>
            <w:szCs w:val="22"/>
          </w:rPr>
          <w:t>Butz H</w:t>
        </w:r>
      </w:hyperlink>
      <w:r w:rsidRPr="000554F2">
        <w:rPr>
          <w:b w:val="0"/>
          <w:sz w:val="22"/>
          <w:szCs w:val="22"/>
        </w:rPr>
        <w:t xml:space="preserve">, </w:t>
      </w:r>
      <w:hyperlink r:id="rId12" w:history="1">
        <w:r w:rsidRPr="000554F2">
          <w:rPr>
            <w:rStyle w:val="Hyperlink"/>
            <w:b w:val="0"/>
            <w:color w:val="auto"/>
            <w:sz w:val="22"/>
            <w:szCs w:val="22"/>
            <w:u w:val="none"/>
          </w:rPr>
          <w:t>Rácz K</w:t>
        </w:r>
      </w:hyperlink>
      <w:r w:rsidRPr="000554F2">
        <w:rPr>
          <w:b w:val="0"/>
          <w:sz w:val="22"/>
          <w:szCs w:val="22"/>
        </w:rPr>
        <w:t xml:space="preserve">, </w:t>
      </w:r>
      <w:hyperlink r:id="rId13" w:history="1">
        <w:r w:rsidRPr="000554F2">
          <w:rPr>
            <w:rStyle w:val="Hyperlink"/>
            <w:b w:val="0"/>
            <w:color w:val="auto"/>
            <w:sz w:val="22"/>
            <w:szCs w:val="22"/>
            <w:u w:val="none"/>
          </w:rPr>
          <w:t>Hunyady L</w:t>
        </w:r>
      </w:hyperlink>
      <w:r w:rsidRPr="000554F2">
        <w:rPr>
          <w:b w:val="0"/>
          <w:sz w:val="22"/>
          <w:szCs w:val="22"/>
        </w:rPr>
        <w:t xml:space="preserve">, </w:t>
      </w:r>
      <w:hyperlink r:id="rId14" w:history="1">
        <w:r w:rsidRPr="000554F2">
          <w:rPr>
            <w:rStyle w:val="Hyperlink"/>
            <w:b w:val="0"/>
            <w:color w:val="auto"/>
            <w:sz w:val="22"/>
            <w:szCs w:val="22"/>
            <w:u w:val="none"/>
          </w:rPr>
          <w:t>Patócs A</w:t>
        </w:r>
      </w:hyperlink>
      <w:r w:rsidRPr="000554F2">
        <w:rPr>
          <w:b w:val="0"/>
          <w:sz w:val="22"/>
          <w:szCs w:val="22"/>
        </w:rPr>
        <w:t xml:space="preserve">. Crosstalk between TGF-β signaling and the microRNA machinery. </w:t>
      </w:r>
      <w:hyperlink r:id="rId15" w:tooltip="Trends in pharmacological sciences." w:history="1">
        <w:r w:rsidRPr="000554F2">
          <w:rPr>
            <w:rStyle w:val="highlight"/>
            <w:b w:val="0"/>
            <w:sz w:val="22"/>
            <w:szCs w:val="22"/>
          </w:rPr>
          <w:t>Trends</w:t>
        </w:r>
        <w:r w:rsidRPr="000554F2">
          <w:rPr>
            <w:rStyle w:val="Hyperlink"/>
            <w:b w:val="0"/>
            <w:color w:val="auto"/>
            <w:sz w:val="22"/>
            <w:szCs w:val="22"/>
            <w:u w:val="none"/>
          </w:rPr>
          <w:t xml:space="preserve"> Pharmacol Sci.</w:t>
        </w:r>
      </w:hyperlink>
      <w:r w:rsidRPr="000554F2">
        <w:rPr>
          <w:b w:val="0"/>
          <w:sz w:val="22"/>
          <w:szCs w:val="22"/>
        </w:rPr>
        <w:t xml:space="preserve"> 2012 Jul;33(7):382-93. </w:t>
      </w:r>
    </w:p>
    <w:p w:rsidR="00876FD6" w:rsidRPr="000554F2" w:rsidRDefault="00876FD6" w:rsidP="00CB3D7A">
      <w:pPr>
        <w:pStyle w:val="ListParagraph"/>
        <w:numPr>
          <w:ilvl w:val="0"/>
          <w:numId w:val="9"/>
        </w:numPr>
        <w:spacing w:after="120" w:line="260" w:lineRule="exact"/>
        <w:ind w:left="714" w:hanging="357"/>
        <w:contextualSpacing w:val="0"/>
        <w:jc w:val="both"/>
        <w:rPr>
          <w:rFonts w:ascii="Times New Roman" w:hAnsi="Times New Roman"/>
          <w:szCs w:val="22"/>
        </w:rPr>
      </w:pPr>
      <w:r w:rsidRPr="000554F2">
        <w:rPr>
          <w:rFonts w:ascii="Times New Roman" w:hAnsi="Times New Roman"/>
          <w:szCs w:val="22"/>
        </w:rPr>
        <w:t>Az SDH ill. VHL génmutációk miatt felszaporodó szukcinát és PHD enzim (és egyéb metabolikus enzimek) gátlása következtében kialakuló oxidatív foszforiláció tökéletlensége, egyensúly megbomlása, valamint a HIF1a aktivitás befolyásolja-e esetleg felerősíti a glikolitikus aktivitást ezekben a daganatokban, mint az számos, malignus szolid  tumorban előfordul?</w:t>
      </w:r>
    </w:p>
    <w:p w:rsidR="00876FD6" w:rsidRPr="000554F2" w:rsidRDefault="00876FD6" w:rsidP="000554F2">
      <w:pPr>
        <w:ind w:left="357"/>
        <w:jc w:val="both"/>
        <w:rPr>
          <w:sz w:val="22"/>
          <w:szCs w:val="22"/>
        </w:rPr>
      </w:pPr>
      <w:r w:rsidRPr="000554F2">
        <w:rPr>
          <w:sz w:val="22"/>
          <w:szCs w:val="22"/>
        </w:rPr>
        <w:t>Válasz: Nagyon köszönöm a kérdést. Igen, ezekben a daganatokban is megfigyelhető a HIF1α st</w:t>
      </w:r>
      <w:r>
        <w:rPr>
          <w:sz w:val="22"/>
          <w:szCs w:val="22"/>
        </w:rPr>
        <w:t>a</w:t>
      </w:r>
      <w:r w:rsidRPr="000554F2">
        <w:rPr>
          <w:sz w:val="22"/>
          <w:szCs w:val="22"/>
        </w:rPr>
        <w:t xml:space="preserve">bilizálódása és célgénjeinek fokozott expressziója. Dahia és mtsai. </w:t>
      </w:r>
      <w:r>
        <w:rPr>
          <w:sz w:val="22"/>
          <w:szCs w:val="22"/>
        </w:rPr>
        <w:t>mu</w:t>
      </w:r>
      <w:r w:rsidRPr="000554F2">
        <w:rPr>
          <w:sz w:val="22"/>
          <w:szCs w:val="22"/>
        </w:rPr>
        <w:t xml:space="preserve">tatták ki először teljes genomos génexpressziós vizsgálatokkal a </w:t>
      </w:r>
      <w:r w:rsidRPr="000554F2">
        <w:rPr>
          <w:i/>
          <w:sz w:val="22"/>
          <w:szCs w:val="22"/>
        </w:rPr>
        <w:t>VHL</w:t>
      </w:r>
      <w:r w:rsidRPr="000554F2">
        <w:rPr>
          <w:sz w:val="22"/>
          <w:szCs w:val="22"/>
        </w:rPr>
        <w:t xml:space="preserve"> és </w:t>
      </w:r>
      <w:r w:rsidRPr="000554F2">
        <w:rPr>
          <w:i/>
          <w:sz w:val="22"/>
          <w:szCs w:val="22"/>
        </w:rPr>
        <w:t>SDHx</w:t>
      </w:r>
      <w:r w:rsidRPr="000554F2">
        <w:rPr>
          <w:sz w:val="22"/>
          <w:szCs w:val="22"/>
        </w:rPr>
        <w:t xml:space="preserve"> asszociált daganatok génexpressziós mintázatának hasonlóságát, amelynek vezető </w:t>
      </w:r>
      <w:r>
        <w:rPr>
          <w:sz w:val="22"/>
          <w:szCs w:val="22"/>
        </w:rPr>
        <w:t>markere</w:t>
      </w:r>
      <w:r w:rsidRPr="000554F2">
        <w:rPr>
          <w:sz w:val="22"/>
          <w:szCs w:val="22"/>
        </w:rPr>
        <w:t xml:space="preserve"> a HIF1α </w:t>
      </w:r>
      <w:r>
        <w:rPr>
          <w:sz w:val="22"/>
          <w:szCs w:val="22"/>
        </w:rPr>
        <w:t xml:space="preserve">overexpresszió </w:t>
      </w:r>
      <w:r w:rsidRPr="000554F2">
        <w:rPr>
          <w:sz w:val="22"/>
          <w:szCs w:val="22"/>
        </w:rPr>
        <w:t xml:space="preserve">és </w:t>
      </w:r>
      <w:r>
        <w:rPr>
          <w:sz w:val="22"/>
          <w:szCs w:val="22"/>
        </w:rPr>
        <w:t xml:space="preserve">a </w:t>
      </w:r>
      <w:r w:rsidRPr="000554F2">
        <w:rPr>
          <w:sz w:val="22"/>
          <w:szCs w:val="22"/>
        </w:rPr>
        <w:t xml:space="preserve">glikolízis fokozódása </w:t>
      </w:r>
      <w:r>
        <w:rPr>
          <w:sz w:val="22"/>
          <w:szCs w:val="22"/>
        </w:rPr>
        <w:t xml:space="preserve">volt </w:t>
      </w:r>
      <w:r w:rsidRPr="000554F2">
        <w:rPr>
          <w:sz w:val="22"/>
          <w:szCs w:val="22"/>
        </w:rPr>
        <w:t xml:space="preserve">ezekben a daganatokban összehasonlítva a </w:t>
      </w:r>
      <w:r w:rsidRPr="00FD572A">
        <w:rPr>
          <w:i/>
          <w:sz w:val="22"/>
          <w:szCs w:val="22"/>
        </w:rPr>
        <w:t>RET</w:t>
      </w:r>
      <w:r w:rsidRPr="000554F2">
        <w:rPr>
          <w:sz w:val="22"/>
          <w:szCs w:val="22"/>
        </w:rPr>
        <w:t xml:space="preserve"> és </w:t>
      </w:r>
      <w:r>
        <w:rPr>
          <w:sz w:val="22"/>
          <w:szCs w:val="22"/>
        </w:rPr>
        <w:t xml:space="preserve">az </w:t>
      </w:r>
      <w:r w:rsidRPr="00FD572A">
        <w:rPr>
          <w:i/>
          <w:sz w:val="22"/>
          <w:szCs w:val="22"/>
        </w:rPr>
        <w:t>NF1</w:t>
      </w:r>
      <w:r w:rsidRPr="000554F2">
        <w:rPr>
          <w:sz w:val="22"/>
          <w:szCs w:val="22"/>
        </w:rPr>
        <w:t xml:space="preserve"> génmutációkhoz társult daganatokhoz</w:t>
      </w:r>
      <w:r>
        <w:rPr>
          <w:sz w:val="22"/>
          <w:szCs w:val="22"/>
        </w:rPr>
        <w:t xml:space="preserve"> viszonyítva</w:t>
      </w:r>
      <w:r w:rsidRPr="000554F2">
        <w:rPr>
          <w:sz w:val="22"/>
          <w:szCs w:val="22"/>
        </w:rPr>
        <w:t>. (Dahia PL, et al.: HIF1alpha regulatory loop links hypoxia and mitochondrial signals in pheochromocytomas.PLoS Genet. 2005 Jul; 1(1):72-80.). Ezt követően számos tanulmány igazolta ezt a jelenséget</w:t>
      </w:r>
      <w:r>
        <w:rPr>
          <w:sz w:val="22"/>
          <w:szCs w:val="22"/>
        </w:rPr>
        <w:t>,</w:t>
      </w:r>
      <w:r w:rsidRPr="000554F2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0554F2">
        <w:rPr>
          <w:sz w:val="22"/>
          <w:szCs w:val="22"/>
        </w:rPr>
        <w:t xml:space="preserve">zonban továbbra is nyitott az a kérdés, hogy mi vezethet az SDH alegységen belüli génekhez társult eltérő fenotípusok megjelenéséhez, pl. miért az </w:t>
      </w:r>
      <w:r w:rsidRPr="00FD572A">
        <w:rPr>
          <w:i/>
          <w:sz w:val="22"/>
          <w:szCs w:val="22"/>
        </w:rPr>
        <w:t xml:space="preserve">SDHB </w:t>
      </w:r>
      <w:r w:rsidRPr="000554F2">
        <w:rPr>
          <w:sz w:val="22"/>
          <w:szCs w:val="22"/>
        </w:rPr>
        <w:t>mutációk okoznak malignus pragangliómát. Ennek tisztázása és a metabolikus jellegzetességek tisztázása jelenl</w:t>
      </w:r>
      <w:r>
        <w:rPr>
          <w:sz w:val="22"/>
          <w:szCs w:val="22"/>
        </w:rPr>
        <w:t>e</w:t>
      </w:r>
      <w:r w:rsidRPr="000554F2">
        <w:rPr>
          <w:sz w:val="22"/>
          <w:szCs w:val="22"/>
        </w:rPr>
        <w:t>g is kutatócsoportom egyik fő témája.</w:t>
      </w:r>
    </w:p>
    <w:p w:rsidR="00876FD6" w:rsidRPr="000554F2" w:rsidRDefault="00876FD6" w:rsidP="00B84DF0">
      <w:pPr>
        <w:pStyle w:val="ListParagraph"/>
        <w:spacing w:after="120" w:line="260" w:lineRule="exact"/>
        <w:ind w:left="357"/>
        <w:contextualSpacing w:val="0"/>
        <w:jc w:val="both"/>
        <w:rPr>
          <w:rFonts w:ascii="Times New Roman" w:hAnsi="Times New Roman"/>
          <w:szCs w:val="22"/>
        </w:rPr>
      </w:pPr>
    </w:p>
    <w:p w:rsidR="00876FD6" w:rsidRPr="000554F2" w:rsidRDefault="00876FD6" w:rsidP="00F05830">
      <w:pPr>
        <w:pStyle w:val="ListParagraph"/>
        <w:numPr>
          <w:ilvl w:val="0"/>
          <w:numId w:val="9"/>
        </w:numPr>
        <w:spacing w:after="120" w:line="260" w:lineRule="exact"/>
        <w:ind w:left="714" w:hanging="357"/>
        <w:contextualSpacing w:val="0"/>
        <w:jc w:val="both"/>
        <w:rPr>
          <w:rFonts w:ascii="Times New Roman" w:hAnsi="Times New Roman"/>
          <w:szCs w:val="22"/>
          <w:lang w:val="hu-HU"/>
        </w:rPr>
      </w:pPr>
      <w:r w:rsidRPr="000554F2">
        <w:rPr>
          <w:rFonts w:ascii="Times New Roman" w:hAnsi="Times New Roman"/>
          <w:szCs w:val="22"/>
        </w:rPr>
        <w:t>Mi a magyarázata és milyen körülmények között mehet végbe egyes ciklinek nélkül is a teljes sejtciklus, milyen faktorok helyettesítik ilyenkor a ciklin-függő kinázokat (CDK4/6, ill. CDK2)?</w:t>
      </w:r>
    </w:p>
    <w:p w:rsidR="00876FD6" w:rsidRPr="000554F2" w:rsidRDefault="00876FD6" w:rsidP="00B84DF0">
      <w:pPr>
        <w:pStyle w:val="ListParagraph"/>
        <w:spacing w:after="120" w:line="260" w:lineRule="exact"/>
        <w:ind w:left="357"/>
        <w:contextualSpacing w:val="0"/>
        <w:jc w:val="both"/>
        <w:rPr>
          <w:rFonts w:ascii="Times New Roman" w:hAnsi="Times New Roman"/>
          <w:szCs w:val="22"/>
          <w:lang w:val="hu-HU"/>
        </w:rPr>
      </w:pPr>
      <w:r w:rsidRPr="000554F2">
        <w:rPr>
          <w:rFonts w:ascii="Times New Roman" w:hAnsi="Times New Roman"/>
          <w:szCs w:val="22"/>
          <w:lang w:val="hu-HU"/>
        </w:rPr>
        <w:t xml:space="preserve">Válasz: Hálásan köszönöm a nagyon izgalmas kérdést. A sejtciklus szigorú szabályozására és az egyes ciklinek valamint ciklin dependens kinázok kizárólagos szerepére vonatkozó alapelvek a 2003-as évben kérdőjeleződtek meg. Ebben az évben két munkacsoport is bebizonyította, hogy mind a Cdk2 (Ortega </w:t>
      </w:r>
      <w:hyperlink r:id="rId16" w:tooltip="Nature genetics." w:history="1">
        <w:r w:rsidRPr="000554F2">
          <w:rPr>
            <w:rStyle w:val="highlight"/>
            <w:rFonts w:ascii="Times New Roman" w:hAnsi="Times New Roman"/>
            <w:color w:val="0000FF"/>
            <w:szCs w:val="22"/>
            <w:u w:val="single"/>
            <w:lang w:val="hu-HU"/>
          </w:rPr>
          <w:t>Nat Genet</w:t>
        </w:r>
        <w:r w:rsidRPr="000554F2">
          <w:rPr>
            <w:rStyle w:val="Hyperlink"/>
            <w:rFonts w:ascii="Times New Roman" w:hAnsi="Times New Roman"/>
            <w:szCs w:val="22"/>
            <w:lang w:val="hu-HU"/>
          </w:rPr>
          <w:t>.</w:t>
        </w:r>
      </w:hyperlink>
      <w:r w:rsidRPr="000554F2">
        <w:rPr>
          <w:rFonts w:ascii="Times New Roman" w:hAnsi="Times New Roman"/>
          <w:szCs w:val="22"/>
          <w:lang w:val="hu-HU"/>
        </w:rPr>
        <w:t xml:space="preserve"> 2003 Sep;35(1):25-31) mind pedig a Ciklin E1 </w:t>
      </w:r>
      <w:r>
        <w:rPr>
          <w:rFonts w:ascii="Times New Roman" w:hAnsi="Times New Roman"/>
          <w:szCs w:val="22"/>
          <w:lang w:val="hu-HU"/>
        </w:rPr>
        <w:t>(</w:t>
      </w:r>
      <w:r w:rsidRPr="000554F2">
        <w:rPr>
          <w:rFonts w:ascii="Times New Roman" w:hAnsi="Times New Roman"/>
          <w:szCs w:val="22"/>
          <w:lang w:val="hu-HU"/>
        </w:rPr>
        <w:t xml:space="preserve">Geng et al. </w:t>
      </w:r>
      <w:r w:rsidRPr="000554F2">
        <w:rPr>
          <w:rStyle w:val="refseriestitle"/>
          <w:rFonts w:ascii="Times New Roman" w:hAnsi="Times New Roman"/>
          <w:szCs w:val="22"/>
          <w:lang w:val="hu-HU"/>
        </w:rPr>
        <w:t>Cell</w:t>
      </w:r>
      <w:r w:rsidRPr="000554F2">
        <w:rPr>
          <w:rStyle w:val="referencesrightcell"/>
          <w:rFonts w:ascii="Times New Roman" w:hAnsi="Times New Roman"/>
          <w:szCs w:val="22"/>
          <w:lang w:val="hu-HU"/>
        </w:rPr>
        <w:t xml:space="preserve">. </w:t>
      </w:r>
      <w:r w:rsidRPr="000554F2">
        <w:rPr>
          <w:rStyle w:val="refseriesdate"/>
          <w:rFonts w:ascii="Times New Roman" w:hAnsi="Times New Roman"/>
          <w:szCs w:val="22"/>
          <w:lang w:val="hu-HU"/>
        </w:rPr>
        <w:t>2003</w:t>
      </w:r>
      <w:r w:rsidRPr="000554F2">
        <w:rPr>
          <w:rStyle w:val="referencesrightcell"/>
          <w:rFonts w:ascii="Times New Roman" w:hAnsi="Times New Roman"/>
          <w:szCs w:val="22"/>
          <w:lang w:val="hu-HU"/>
        </w:rPr>
        <w:t xml:space="preserve">; </w:t>
      </w:r>
      <w:r w:rsidRPr="000554F2">
        <w:rPr>
          <w:rStyle w:val="refseriesvolume"/>
          <w:rFonts w:ascii="Times New Roman" w:hAnsi="Times New Roman"/>
          <w:szCs w:val="22"/>
          <w:lang w:val="hu-HU"/>
        </w:rPr>
        <w:t>114</w:t>
      </w:r>
      <w:r w:rsidRPr="000554F2">
        <w:rPr>
          <w:rStyle w:val="referencesrightcell"/>
          <w:rFonts w:ascii="Times New Roman" w:hAnsi="Times New Roman"/>
          <w:szCs w:val="22"/>
          <w:lang w:val="hu-HU"/>
        </w:rPr>
        <w:t xml:space="preserve">: </w:t>
      </w:r>
      <w:r w:rsidRPr="000554F2">
        <w:rPr>
          <w:rStyle w:val="refpages"/>
          <w:rFonts w:ascii="Times New Roman" w:hAnsi="Times New Roman"/>
          <w:szCs w:val="22"/>
          <w:lang w:val="hu-HU"/>
        </w:rPr>
        <w:t xml:space="preserve">431–443) </w:t>
      </w:r>
      <w:r w:rsidRPr="000554F2">
        <w:rPr>
          <w:rFonts w:ascii="Times New Roman" w:hAnsi="Times New Roman"/>
          <w:szCs w:val="22"/>
          <w:lang w:val="hu-HU"/>
        </w:rPr>
        <w:t>hiányos egerek is életképesek és több mint két évig túlélnek, látható szervi elégtelenség nélkül. Ezek a tanulmányok bizonyították elsőre, hogy a sejtciklus szabályozásában redundáns szerepük lehet a különböző ciklin dependens kinázoknak és számos kompenzatórikus mechanizmus biztosítja a sejtciklus végbemenését. A CDK4 és CDK6 fehérjék 71%-ban megegyező aminosav szekvenciával rendelkeznek a szubsztrát specificitásuk is hasonló, a D típusú ciklineket foszforilálják. A CDK4-/- egér életképes, csak a testméretek és szerveinek mérete kisebb a vad típusú egérhez képest. A CDK6-/- egérben csak a nőstény mérete volt kisebb a vad típushoz képest, és a hematopo</w:t>
      </w:r>
      <w:r>
        <w:rPr>
          <w:rFonts w:ascii="Times New Roman" w:hAnsi="Times New Roman"/>
          <w:szCs w:val="22"/>
          <w:lang w:val="hu-HU"/>
        </w:rPr>
        <w:t>i</w:t>
      </w:r>
      <w:r w:rsidRPr="000554F2">
        <w:rPr>
          <w:rFonts w:ascii="Times New Roman" w:hAnsi="Times New Roman"/>
          <w:szCs w:val="22"/>
          <w:lang w:val="hu-HU"/>
        </w:rPr>
        <w:t>esis károsodása figyelhető meg. Ezek alapján a két CDK egymás funkcióját kompenzálhatja a másik hiánya esetén. A CDK4/6-hoz hasonlóan a CDK2 funkciójának kompenzációját is el tudja végezni a CDK4 vagy CDK6, ami szintén a sejtciklus korai G1 fázisában játszik szerepet és a D típusú ciklineket foszforilálja. A CDK2 hiányában a CDK1 köti az E ciklint és biztosítja a G1/S átmenetet (Aleem et al. Nat Cell Biol 2005; 7:831-6.</w:t>
      </w:r>
      <w:r w:rsidRPr="000554F2">
        <w:rPr>
          <w:rFonts w:ascii="Times New Roman" w:hAnsi="Times New Roman"/>
          <w:noProof/>
          <w:szCs w:val="22"/>
          <w:lang w:val="hu-HU"/>
        </w:rPr>
        <w:t xml:space="preserve">). Mindezen eredmények alapján a CDK1 tűnik az egyetlen nélkülözhetetlen ciklin dependens kináznak. </w:t>
      </w:r>
    </w:p>
    <w:p w:rsidR="00876FD6" w:rsidRPr="000554F2" w:rsidRDefault="00876FD6" w:rsidP="00B84DF0">
      <w:pPr>
        <w:pStyle w:val="ListParagraph"/>
        <w:spacing w:after="120" w:line="260" w:lineRule="exact"/>
        <w:ind w:left="357"/>
        <w:contextualSpacing w:val="0"/>
        <w:jc w:val="both"/>
        <w:rPr>
          <w:rFonts w:ascii="Times New Roman" w:hAnsi="Times New Roman"/>
          <w:szCs w:val="22"/>
        </w:rPr>
      </w:pPr>
    </w:p>
    <w:p w:rsidR="00876FD6" w:rsidRPr="000554F2" w:rsidRDefault="00876FD6" w:rsidP="00F05830">
      <w:pPr>
        <w:pStyle w:val="ListParagraph"/>
        <w:numPr>
          <w:ilvl w:val="0"/>
          <w:numId w:val="9"/>
        </w:numPr>
        <w:spacing w:after="120" w:line="260" w:lineRule="exact"/>
        <w:ind w:left="714" w:hanging="357"/>
        <w:contextualSpacing w:val="0"/>
        <w:jc w:val="both"/>
        <w:rPr>
          <w:rFonts w:ascii="Times New Roman" w:hAnsi="Times New Roman"/>
          <w:szCs w:val="22"/>
        </w:rPr>
      </w:pPr>
      <w:r w:rsidRPr="000554F2">
        <w:rPr>
          <w:rFonts w:ascii="Times New Roman" w:hAnsi="Times New Roman"/>
          <w:szCs w:val="22"/>
        </w:rPr>
        <w:t>A sejtciklus promoter fehérjék emelkedett expressziója a daganatok forkozott sejtciklus progressziójára utal. Milyen okokra vezethető vissza, hogy a ciklin-függő kináz inhibitor p21waf1 fokozott kifejeződését is megfigyelték számos malignus daganattípusban?</w:t>
      </w:r>
    </w:p>
    <w:p w:rsidR="00876FD6" w:rsidRPr="00FD572A" w:rsidRDefault="00876FD6" w:rsidP="00FD572A">
      <w:pPr>
        <w:pStyle w:val="ListParagraph"/>
        <w:spacing w:after="120" w:line="260" w:lineRule="exact"/>
        <w:ind w:left="708"/>
        <w:contextualSpacing w:val="0"/>
        <w:jc w:val="both"/>
        <w:rPr>
          <w:rFonts w:ascii="Times New Roman" w:hAnsi="Times New Roman"/>
          <w:color w:val="auto"/>
          <w:szCs w:val="22"/>
          <w:lang w:val="hu-HU"/>
        </w:rPr>
      </w:pPr>
      <w:r w:rsidRPr="00FD572A">
        <w:rPr>
          <w:rFonts w:ascii="Times New Roman" w:hAnsi="Times New Roman"/>
          <w:szCs w:val="22"/>
          <w:lang w:val="hu-HU"/>
        </w:rPr>
        <w:t>Válasz: Nagyon köszönöm a szintén fontos és érdekes kérdést. A p21 egy ciklin-dependens kináz inhibitor, amelynek legfontosabb szerepe a sejtek védelme a genotoxikus stresszel szemben</w:t>
      </w:r>
      <w:r>
        <w:rPr>
          <w:rFonts w:ascii="Times New Roman" w:hAnsi="Times New Roman"/>
          <w:szCs w:val="22"/>
          <w:lang w:val="hu-HU"/>
        </w:rPr>
        <w:t xml:space="preserve"> </w:t>
      </w:r>
      <w:r w:rsidRPr="00FD572A">
        <w:rPr>
          <w:rFonts w:ascii="Times New Roman" w:hAnsi="Times New Roman"/>
          <w:szCs w:val="22"/>
          <w:lang w:val="hu-HU"/>
        </w:rPr>
        <w:t xml:space="preserve">és a p53-nak a fő transzkripciós célgénje. A sejten belül </w:t>
      </w:r>
      <w:r>
        <w:rPr>
          <w:rFonts w:ascii="Times New Roman" w:hAnsi="Times New Roman"/>
          <w:szCs w:val="22"/>
          <w:lang w:val="hu-HU"/>
        </w:rPr>
        <w:t>k</w:t>
      </w:r>
      <w:r w:rsidRPr="00FD572A">
        <w:rPr>
          <w:rFonts w:ascii="Times New Roman" w:hAnsi="Times New Roman"/>
          <w:szCs w:val="22"/>
          <w:lang w:val="hu-HU"/>
        </w:rPr>
        <w:t>omplex funkciója van; a sejtmagban a CDK1, CDK2 kinázhoz kötődve gátolja azok funkcióját ezáltal blokkolja a sejtciklus G1/S átmenet</w:t>
      </w:r>
      <w:r>
        <w:rPr>
          <w:rFonts w:ascii="Times New Roman" w:hAnsi="Times New Roman"/>
          <w:szCs w:val="22"/>
          <w:lang w:val="hu-HU"/>
        </w:rPr>
        <w:t>é</w:t>
      </w:r>
      <w:r w:rsidRPr="00FD572A">
        <w:rPr>
          <w:rFonts w:ascii="Times New Roman" w:hAnsi="Times New Roman"/>
          <w:szCs w:val="22"/>
          <w:lang w:val="hu-HU"/>
        </w:rPr>
        <w:t>t vagy a G2</w:t>
      </w:r>
      <w:r>
        <w:rPr>
          <w:rFonts w:ascii="Times New Roman" w:hAnsi="Times New Roman"/>
          <w:szCs w:val="22"/>
          <w:lang w:val="hu-HU"/>
        </w:rPr>
        <w:t>-</w:t>
      </w:r>
      <w:r w:rsidRPr="00FD572A">
        <w:rPr>
          <w:rFonts w:ascii="Times New Roman" w:hAnsi="Times New Roman"/>
          <w:szCs w:val="22"/>
          <w:lang w:val="hu-HU"/>
        </w:rPr>
        <w:t>ből a mitózist. Elsődleges szerepe a károsodott DNS kijavítása, ezen belül is elsősorban a két szálú DNS</w:t>
      </w:r>
      <w:r>
        <w:rPr>
          <w:rFonts w:ascii="Times New Roman" w:hAnsi="Times New Roman"/>
          <w:szCs w:val="22"/>
          <w:lang w:val="hu-HU"/>
        </w:rPr>
        <w:t>-</w:t>
      </w:r>
      <w:r w:rsidRPr="00FD572A">
        <w:rPr>
          <w:rFonts w:ascii="Times New Roman" w:hAnsi="Times New Roman"/>
          <w:szCs w:val="22"/>
          <w:lang w:val="hu-HU"/>
        </w:rPr>
        <w:t>törések valamint azoknak a DNS szakaszoknak a kijavítása, amikor több, egymáshoz közeli nukleotidokat érint a károsodás. Ugyanakkor a sej</w:t>
      </w:r>
      <w:r>
        <w:rPr>
          <w:rFonts w:ascii="Times New Roman" w:hAnsi="Times New Roman"/>
          <w:szCs w:val="22"/>
          <w:lang w:val="hu-HU"/>
        </w:rPr>
        <w:t>t</w:t>
      </w:r>
      <w:r w:rsidRPr="00FD572A">
        <w:rPr>
          <w:rFonts w:ascii="Times New Roman" w:hAnsi="Times New Roman"/>
          <w:szCs w:val="22"/>
          <w:lang w:val="hu-HU"/>
        </w:rPr>
        <w:t>típustól, az intracellularis lokalizációtól, a p53 státusztól és a genotoxikus stressz mértékétől függően tumorgátló és tumorindukáló szerepe is lehet, amit a p53 vagy p53-hiányos környezet határoz meg. Olyan állapotokban, amikor a p53 hiány, vagy mutáns p53 mellett a p21 expresszió</w:t>
      </w:r>
      <w:r>
        <w:rPr>
          <w:rFonts w:ascii="Times New Roman" w:hAnsi="Times New Roman"/>
          <w:szCs w:val="22"/>
          <w:lang w:val="hu-HU"/>
        </w:rPr>
        <w:t xml:space="preserve"> is jelen van, a sejtek egy részében</w:t>
      </w:r>
      <w:r w:rsidRPr="00FD572A">
        <w:rPr>
          <w:rFonts w:ascii="Times New Roman" w:hAnsi="Times New Roman"/>
          <w:szCs w:val="22"/>
          <w:lang w:val="hu-HU"/>
        </w:rPr>
        <w:t xml:space="preserve"> egy agresszív, kemoterápia-rezisztens sejt populáció szelektálása </w:t>
      </w:r>
      <w:r w:rsidRPr="00FD572A">
        <w:rPr>
          <w:rFonts w:ascii="Times New Roman" w:hAnsi="Times New Roman"/>
          <w:color w:val="auto"/>
          <w:szCs w:val="22"/>
          <w:lang w:val="hu-HU"/>
        </w:rPr>
        <w:t>történhet meg. Ez elsősorban a nagy genom instabilitást mutató rákok esetében figyelhető meg (</w:t>
      </w:r>
      <w:hyperlink r:id="rId17" w:history="1">
        <w:r w:rsidRPr="00FD572A">
          <w:rPr>
            <w:rStyle w:val="Hyperlink"/>
            <w:rFonts w:ascii="Times New Roman" w:hAnsi="Times New Roman"/>
            <w:color w:val="auto"/>
            <w:szCs w:val="22"/>
            <w:u w:val="none"/>
            <w:lang w:val="hu-HU"/>
          </w:rPr>
          <w:t>Georgakilas AG</w:t>
        </w:r>
      </w:hyperlink>
      <w:r w:rsidRPr="00FD572A">
        <w:rPr>
          <w:rFonts w:ascii="Times New Roman" w:hAnsi="Times New Roman"/>
          <w:color w:val="auto"/>
          <w:szCs w:val="22"/>
          <w:lang w:val="hu-HU"/>
        </w:rPr>
        <w:t xml:space="preserve">, </w:t>
      </w:r>
      <w:hyperlink r:id="rId18" w:history="1">
        <w:r w:rsidRPr="00FD572A">
          <w:rPr>
            <w:rStyle w:val="Hyperlink"/>
            <w:rFonts w:ascii="Times New Roman" w:hAnsi="Times New Roman"/>
            <w:color w:val="auto"/>
            <w:szCs w:val="22"/>
            <w:u w:val="none"/>
            <w:lang w:val="hu-HU"/>
          </w:rPr>
          <w:t>Martin OA</w:t>
        </w:r>
      </w:hyperlink>
      <w:r w:rsidRPr="00FD572A">
        <w:rPr>
          <w:rFonts w:ascii="Times New Roman" w:hAnsi="Times New Roman"/>
          <w:color w:val="auto"/>
          <w:szCs w:val="22"/>
          <w:lang w:val="hu-HU"/>
        </w:rPr>
        <w:t xml:space="preserve">, </w:t>
      </w:r>
      <w:hyperlink r:id="rId19" w:history="1">
        <w:r w:rsidRPr="00FD572A">
          <w:rPr>
            <w:rStyle w:val="Hyperlink"/>
            <w:rFonts w:ascii="Times New Roman" w:hAnsi="Times New Roman"/>
            <w:color w:val="auto"/>
            <w:szCs w:val="22"/>
            <w:u w:val="none"/>
            <w:lang w:val="hu-HU"/>
          </w:rPr>
          <w:t>Bonner WM</w:t>
        </w:r>
      </w:hyperlink>
      <w:r w:rsidRPr="00FD572A">
        <w:rPr>
          <w:rFonts w:ascii="Times New Roman" w:hAnsi="Times New Roman"/>
          <w:color w:val="auto"/>
          <w:szCs w:val="22"/>
          <w:lang w:val="hu-HU"/>
        </w:rPr>
        <w:t>.</w:t>
      </w:r>
      <w:r w:rsidRPr="00FD572A">
        <w:rPr>
          <w:rStyle w:val="highlight"/>
          <w:rFonts w:ascii="Times New Roman" w:hAnsi="Times New Roman"/>
          <w:color w:val="auto"/>
          <w:szCs w:val="22"/>
          <w:lang w:val="hu-HU"/>
        </w:rPr>
        <w:t>p21</w:t>
      </w:r>
      <w:r w:rsidRPr="00FD572A">
        <w:rPr>
          <w:rFonts w:ascii="Times New Roman" w:hAnsi="Times New Roman"/>
          <w:color w:val="auto"/>
          <w:szCs w:val="22"/>
          <w:lang w:val="hu-HU"/>
        </w:rPr>
        <w:t xml:space="preserve">: A Two-Faced Genome Guardian. </w:t>
      </w:r>
      <w:hyperlink r:id="rId20" w:tooltip="Trends in molecular medicine." w:history="1">
        <w:r w:rsidRPr="00FD572A">
          <w:rPr>
            <w:rStyle w:val="Hyperlink"/>
            <w:rFonts w:ascii="Times New Roman" w:hAnsi="Times New Roman"/>
            <w:color w:val="auto"/>
            <w:szCs w:val="22"/>
            <w:u w:val="none"/>
            <w:lang w:val="hu-HU"/>
          </w:rPr>
          <w:t>Trends Mol Med.</w:t>
        </w:r>
      </w:hyperlink>
      <w:r w:rsidRPr="00FD572A">
        <w:rPr>
          <w:rFonts w:ascii="Times New Roman" w:hAnsi="Times New Roman"/>
          <w:color w:val="auto"/>
          <w:szCs w:val="22"/>
          <w:lang w:val="hu-HU"/>
        </w:rPr>
        <w:t xml:space="preserve"> 2017 Apr;23(4):310-319. ) Szintén fontos megfigyelés, hogy számos ráktípusban pl. emlő és vastagbél carcinomában a p21 expresszió megvédte a rákos sejteket sugárzás vagy kemoterá</w:t>
      </w:r>
      <w:r>
        <w:rPr>
          <w:rFonts w:ascii="Times New Roman" w:hAnsi="Times New Roman"/>
          <w:color w:val="auto"/>
          <w:szCs w:val="22"/>
          <w:lang w:val="hu-HU"/>
        </w:rPr>
        <w:t>p</w:t>
      </w:r>
      <w:r w:rsidRPr="00FD572A">
        <w:rPr>
          <w:rFonts w:ascii="Times New Roman" w:hAnsi="Times New Roman"/>
          <w:color w:val="auto"/>
          <w:szCs w:val="22"/>
          <w:lang w:val="hu-HU"/>
        </w:rPr>
        <w:t>iás szerek által indukált apoptózis általi sejthaláltól (S.Q. Xu, W.S. El-Deiry</w:t>
      </w:r>
      <w:r w:rsidRPr="00FD572A">
        <w:rPr>
          <w:rFonts w:ascii="Times New Roman" w:hAnsi="Times New Roman"/>
          <w:bCs/>
          <w:color w:val="auto"/>
          <w:szCs w:val="22"/>
          <w:lang w:val="hu-HU"/>
        </w:rPr>
        <w:t xml:space="preserve">p21(WAF1/CIP1) inhibits initiator caspase cleavage by TRAIL death receptor DR4 </w:t>
      </w:r>
      <w:r w:rsidRPr="00FD572A">
        <w:rPr>
          <w:rFonts w:ascii="Times New Roman" w:hAnsi="Times New Roman"/>
          <w:color w:val="auto"/>
          <w:szCs w:val="22"/>
          <w:lang w:val="hu-HU"/>
        </w:rPr>
        <w:t>Biochemical and Biophysical Research Communications, 269 (2000), pp. 179-190). Ezekhez kapcsolódva immunhisztokémia vizsgálatokkal igazolták, hogy a fokozott p21 expresszió összefüggést mutatott a rossz túléléssel gliómák, prosztatarák, cervix, petefészek és nyelőcsőrák esetében. A dagan</w:t>
      </w:r>
      <w:r>
        <w:rPr>
          <w:rFonts w:ascii="Times New Roman" w:hAnsi="Times New Roman"/>
          <w:color w:val="auto"/>
          <w:szCs w:val="22"/>
          <w:lang w:val="hu-HU"/>
        </w:rPr>
        <w:t>a</w:t>
      </w:r>
      <w:r w:rsidRPr="00FD572A">
        <w:rPr>
          <w:rFonts w:ascii="Times New Roman" w:hAnsi="Times New Roman"/>
          <w:color w:val="auto"/>
          <w:szCs w:val="22"/>
          <w:lang w:val="hu-HU"/>
        </w:rPr>
        <w:t>t</w:t>
      </w:r>
      <w:r>
        <w:rPr>
          <w:rFonts w:ascii="Times New Roman" w:hAnsi="Times New Roman"/>
          <w:color w:val="auto"/>
          <w:szCs w:val="22"/>
          <w:lang w:val="hu-HU"/>
        </w:rPr>
        <w:t>-</w:t>
      </w:r>
      <w:r w:rsidRPr="00FD572A">
        <w:rPr>
          <w:rFonts w:ascii="Times New Roman" w:hAnsi="Times New Roman"/>
          <w:color w:val="auto"/>
          <w:szCs w:val="22"/>
          <w:lang w:val="hu-HU"/>
        </w:rPr>
        <w:t>promotáló hatás oka lehet még a p21 sejten belüli lokalizációja is. A citoplazmában található p21 elsősorban antiapoptótikus hatással míg a sejtmagban található p21</w:t>
      </w:r>
      <w:r>
        <w:rPr>
          <w:rFonts w:ascii="Times New Roman" w:hAnsi="Times New Roman"/>
          <w:color w:val="auto"/>
          <w:szCs w:val="22"/>
          <w:lang w:val="hu-HU"/>
        </w:rPr>
        <w:t xml:space="preserve"> esetén</w:t>
      </w:r>
      <w:r w:rsidRPr="00FD572A">
        <w:rPr>
          <w:rFonts w:ascii="Times New Roman" w:hAnsi="Times New Roman"/>
          <w:color w:val="auto"/>
          <w:szCs w:val="22"/>
          <w:lang w:val="hu-HU"/>
        </w:rPr>
        <w:t xml:space="preserve"> inkább a sejtosztódást gátló hatása dominál. (T.R. Gawriluk, </w:t>
      </w:r>
      <w:r w:rsidRPr="00FD572A">
        <w:rPr>
          <w:rFonts w:ascii="Times New Roman" w:hAnsi="Times New Roman"/>
          <w:i/>
          <w:iCs/>
          <w:color w:val="auto"/>
          <w:szCs w:val="22"/>
          <w:lang w:val="hu-HU"/>
        </w:rPr>
        <w:t>et al.</w:t>
      </w:r>
      <w:r w:rsidRPr="00FD572A">
        <w:rPr>
          <w:rFonts w:ascii="Times New Roman" w:hAnsi="Times New Roman"/>
          <w:bCs/>
          <w:color w:val="auto"/>
          <w:szCs w:val="22"/>
          <w:lang w:val="hu-HU"/>
        </w:rPr>
        <w:t xml:space="preserve">Comparative analysis of ear-hole closure identifies epimorphic regeneration as a discrete trait in mammals </w:t>
      </w:r>
      <w:r w:rsidRPr="00FD572A">
        <w:rPr>
          <w:rFonts w:ascii="Times New Roman" w:hAnsi="Times New Roman"/>
          <w:color w:val="auto"/>
          <w:szCs w:val="22"/>
          <w:lang w:val="hu-HU"/>
        </w:rPr>
        <w:t xml:space="preserve">Nature Communications, 7 (2016), p. 11164). Ehhez kapcsolódva igazolták, hogy a rákos sejtek az ép sejtektől eltérően a citoplazmájukban tárolják a sejtciklus reguláló fehérjék (E ciklin, CDK2, p21 és p27) mennyiségének több mint felét, így szintén alátámasztva az intracellularis lokalizáció fontosságát a sejt sorsának eldöntésében. (G. Orend, </w:t>
      </w:r>
      <w:r w:rsidRPr="00FD572A">
        <w:rPr>
          <w:rFonts w:ascii="Times New Roman" w:hAnsi="Times New Roman"/>
          <w:i/>
          <w:iCs/>
          <w:color w:val="auto"/>
          <w:szCs w:val="22"/>
          <w:lang w:val="hu-HU"/>
        </w:rPr>
        <w:t>et al.</w:t>
      </w:r>
      <w:r w:rsidRPr="00FD572A">
        <w:rPr>
          <w:rFonts w:ascii="Times New Roman" w:hAnsi="Times New Roman"/>
          <w:bCs/>
          <w:color w:val="auto"/>
          <w:szCs w:val="22"/>
          <w:lang w:val="hu-HU"/>
        </w:rPr>
        <w:t>Cytoplasmic displacement of cyclin E-cdk2 inhibitors p21</w:t>
      </w:r>
      <w:r w:rsidRPr="00FD572A">
        <w:rPr>
          <w:rFonts w:ascii="Times New Roman" w:hAnsi="Times New Roman"/>
          <w:bCs/>
          <w:color w:val="auto"/>
          <w:szCs w:val="22"/>
          <w:vertAlign w:val="superscript"/>
          <w:lang w:val="hu-HU"/>
        </w:rPr>
        <w:t>Cip1</w:t>
      </w:r>
      <w:r w:rsidRPr="00FD572A">
        <w:rPr>
          <w:rFonts w:ascii="Times New Roman" w:hAnsi="Times New Roman"/>
          <w:bCs/>
          <w:color w:val="auto"/>
          <w:szCs w:val="22"/>
          <w:lang w:val="hu-HU"/>
        </w:rPr>
        <w:t xml:space="preserve"> and p27</w:t>
      </w:r>
      <w:r w:rsidRPr="00FD572A">
        <w:rPr>
          <w:rFonts w:ascii="Times New Roman" w:hAnsi="Times New Roman"/>
          <w:bCs/>
          <w:color w:val="auto"/>
          <w:szCs w:val="22"/>
          <w:vertAlign w:val="superscript"/>
          <w:lang w:val="hu-HU"/>
        </w:rPr>
        <w:t>Kip1</w:t>
      </w:r>
      <w:r w:rsidRPr="00FD572A">
        <w:rPr>
          <w:rFonts w:ascii="Times New Roman" w:hAnsi="Times New Roman"/>
          <w:bCs/>
          <w:color w:val="auto"/>
          <w:szCs w:val="22"/>
          <w:lang w:val="hu-HU"/>
        </w:rPr>
        <w:t xml:space="preserve"> in anchorage-independent cells </w:t>
      </w:r>
      <w:r w:rsidRPr="00FD572A">
        <w:rPr>
          <w:rFonts w:ascii="Times New Roman" w:hAnsi="Times New Roman"/>
          <w:color w:val="auto"/>
          <w:szCs w:val="22"/>
          <w:lang w:val="hu-HU"/>
        </w:rPr>
        <w:t>Oncogene, 16 (1998), pp. 2575-2583).</w:t>
      </w:r>
    </w:p>
    <w:p w:rsidR="00876FD6" w:rsidRPr="00FD572A" w:rsidRDefault="00876FD6" w:rsidP="00B84DF0">
      <w:pPr>
        <w:pStyle w:val="ListParagraph"/>
        <w:spacing w:after="120" w:line="260" w:lineRule="exact"/>
        <w:ind w:left="357"/>
        <w:contextualSpacing w:val="0"/>
        <w:jc w:val="both"/>
        <w:rPr>
          <w:rFonts w:ascii="Times New Roman" w:hAnsi="Times New Roman"/>
          <w:szCs w:val="22"/>
          <w:lang w:val="hu-HU"/>
        </w:rPr>
      </w:pPr>
    </w:p>
    <w:p w:rsidR="00876FD6" w:rsidRPr="000554F2" w:rsidRDefault="00876FD6" w:rsidP="00F05830">
      <w:pPr>
        <w:pStyle w:val="ListParagraph"/>
        <w:numPr>
          <w:ilvl w:val="0"/>
          <w:numId w:val="9"/>
        </w:numPr>
        <w:spacing w:after="120" w:line="260" w:lineRule="exact"/>
        <w:ind w:left="714" w:hanging="357"/>
        <w:contextualSpacing w:val="0"/>
        <w:jc w:val="both"/>
        <w:rPr>
          <w:rFonts w:ascii="Times New Roman" w:hAnsi="Times New Roman"/>
          <w:szCs w:val="22"/>
        </w:rPr>
      </w:pPr>
      <w:r w:rsidRPr="000554F2">
        <w:rPr>
          <w:rFonts w:ascii="Times New Roman" w:hAnsi="Times New Roman"/>
          <w:szCs w:val="22"/>
        </w:rPr>
        <w:t xml:space="preserve">A mellékvesekéreg adenomákban kialakulásában a MEN1 gén szerepét csekélynek jelzi, ugyanakkor mások beszámolnak a gént tartalmazó 11q13 régió elvesztéséről? Kiderült-e azóta, hogy milyen más tumorszupresszor gén van ebben a régióban, aminek elvesztése kapcsolatba hozható az adenomák kialakulásával? </w:t>
      </w:r>
    </w:p>
    <w:p w:rsidR="00876FD6" w:rsidRPr="000554F2" w:rsidRDefault="00876FD6" w:rsidP="00B84DF0">
      <w:pPr>
        <w:pStyle w:val="ListParagraph"/>
        <w:spacing w:after="120" w:line="260" w:lineRule="exact"/>
        <w:ind w:left="357"/>
        <w:contextualSpacing w:val="0"/>
        <w:jc w:val="both"/>
        <w:rPr>
          <w:rFonts w:ascii="Times New Roman" w:hAnsi="Times New Roman"/>
          <w:szCs w:val="22"/>
          <w:lang w:val="hu-HU"/>
        </w:rPr>
      </w:pPr>
      <w:r w:rsidRPr="000554F2">
        <w:rPr>
          <w:rFonts w:ascii="Times New Roman" w:hAnsi="Times New Roman"/>
          <w:szCs w:val="22"/>
          <w:lang w:val="hu-HU"/>
        </w:rPr>
        <w:t xml:space="preserve">Válasz: Köszönöm a bírálónak a nagyon fontos kérdést. A válasz röviden nem, nem </w:t>
      </w:r>
      <w:r>
        <w:rPr>
          <w:rFonts w:ascii="Times New Roman" w:hAnsi="Times New Roman"/>
          <w:szCs w:val="22"/>
          <w:lang w:val="hu-HU"/>
        </w:rPr>
        <w:t>d</w:t>
      </w:r>
      <w:r w:rsidRPr="000554F2">
        <w:rPr>
          <w:rFonts w:ascii="Times New Roman" w:hAnsi="Times New Roman"/>
          <w:szCs w:val="22"/>
          <w:lang w:val="hu-HU"/>
        </w:rPr>
        <w:t xml:space="preserve">erült ki mindezidáig, hogy milyen egyéb gén(ek) lehetnek felelősek a mellékvesekéreg adenómák kialakulásért. </w:t>
      </w:r>
      <w:hyperlink r:id="rId21" w:history="1">
        <w:r w:rsidRPr="000554F2">
          <w:rPr>
            <w:rStyle w:val="Hyperlink"/>
            <w:rFonts w:ascii="Times New Roman" w:hAnsi="Times New Roman"/>
            <w:szCs w:val="22"/>
            <w:lang w:val="hu-HU"/>
          </w:rPr>
          <w:t>Fernandez-Ranvier GG</w:t>
        </w:r>
      </w:hyperlink>
      <w:r w:rsidRPr="000554F2">
        <w:rPr>
          <w:rFonts w:ascii="Times New Roman" w:hAnsi="Times New Roman"/>
          <w:szCs w:val="22"/>
          <w:vertAlign w:val="superscript"/>
          <w:lang w:val="hu-HU"/>
        </w:rPr>
        <w:t xml:space="preserve"> </w:t>
      </w:r>
      <w:r w:rsidRPr="000554F2">
        <w:rPr>
          <w:rFonts w:ascii="Times New Roman" w:hAnsi="Times New Roman"/>
          <w:szCs w:val="22"/>
          <w:lang w:val="hu-HU"/>
        </w:rPr>
        <w:t xml:space="preserve">Affymetrix GeneChip (U133 plus 2.0) microarray módszerrel 54 (11 rák és 33 adenóma) daganat elemzését végezte el, amelynek során 25 gént találtak, ebben a régióban amelyek elkülönítik a jó és rossz daganatokat. Olyan vizsgálat, ami fókuszáltan ezt a régiót vizsgálta volna a jóindulatú daganatokban az ép mellékveséhez képest nem került publikálásra. </w:t>
      </w:r>
    </w:p>
    <w:p w:rsidR="00876FD6" w:rsidRPr="000554F2" w:rsidRDefault="00876FD6" w:rsidP="00F05830">
      <w:pPr>
        <w:pStyle w:val="ListParagraph"/>
        <w:numPr>
          <w:ilvl w:val="0"/>
          <w:numId w:val="9"/>
        </w:numPr>
        <w:spacing w:after="120" w:line="260" w:lineRule="exact"/>
        <w:ind w:left="714" w:hanging="357"/>
        <w:contextualSpacing w:val="0"/>
        <w:jc w:val="both"/>
        <w:rPr>
          <w:rFonts w:ascii="Times New Roman" w:hAnsi="Times New Roman"/>
          <w:szCs w:val="22"/>
        </w:rPr>
      </w:pPr>
      <w:r w:rsidRPr="000554F2">
        <w:rPr>
          <w:rFonts w:ascii="Times New Roman" w:hAnsi="Times New Roman"/>
          <w:szCs w:val="22"/>
        </w:rPr>
        <w:t xml:space="preserve">Gemcitabin hatására az apototikus sejtfrakció szignifikánsan megnövekszik, ugyanakkor a végkonkluzióban azt mondja, hogy a kezelés hatására megemelkedő RRM2 szint a terápiával szembeni kemorezisztencia fokozódására utal. Hogyan oldható fel ez az ellentmondás? </w:t>
      </w:r>
    </w:p>
    <w:p w:rsidR="00876FD6" w:rsidRPr="000554F2" w:rsidRDefault="00876FD6" w:rsidP="00B84DF0">
      <w:pPr>
        <w:pStyle w:val="ListParagraph"/>
        <w:spacing w:after="120" w:line="260" w:lineRule="exact"/>
        <w:ind w:left="357"/>
        <w:contextualSpacing w:val="0"/>
        <w:jc w:val="both"/>
        <w:rPr>
          <w:rFonts w:ascii="Times New Roman" w:hAnsi="Times New Roman"/>
          <w:szCs w:val="22"/>
          <w:lang w:val="hu-HU"/>
        </w:rPr>
      </w:pPr>
      <w:r w:rsidRPr="000554F2">
        <w:rPr>
          <w:rFonts w:ascii="Times New Roman" w:hAnsi="Times New Roman"/>
          <w:szCs w:val="22"/>
          <w:lang w:val="hu-HU"/>
        </w:rPr>
        <w:t>Válasz: Nagyon köszönöm a kérdést. Munkánk során vizsgáltuk a gemcitabin, a mitotán és a 9-cisz-retinsav önálló és kombinációs hatásait is a sejtek proliferációjára, apoptózisára, a sejtciklus fázisainak eloszlására valamint az RRM2 expresszióra nézve. Kimutattuk, hogy mindegyik kezelés csökkentette a sejtek proliferációját, a gemcitabin kezelés már korábbi időpontokban és nagyobb mértékben csökkentette a proliferációt, amelynek hátterében a gemcitabin apoptózist serkentő szerepe állhat. Ugyanakkor a gemcitabin önmagában és kombinációban adva is emelte az RRM2 mennyiségét, ami irodalmi adatok alapján a rossz prognózissal és a kemorezisztánciával mutatott összefüggést, amit az RRM2 siRNS vagy mikroRNS-el történő csendesítése után sikerült feloldaniuk. Tulajdonképpen ezek a megfigyelések vezettek ehhez a konklúzióhoz, saját klinikai adatunk a dolgozat benyújtásakor nem állt rendelkezésre. Jelenleg a gemcitabin hatásának vizsgálata nemzetközi együttműködésben folytatódik munkacsoportunkban, az eredmények jelenleg nem elérhetőek.</w:t>
      </w:r>
    </w:p>
    <w:p w:rsidR="00876FD6" w:rsidRPr="000554F2" w:rsidRDefault="00876FD6" w:rsidP="00F05830">
      <w:pPr>
        <w:pStyle w:val="ListParagraph"/>
        <w:numPr>
          <w:ilvl w:val="0"/>
          <w:numId w:val="9"/>
        </w:numPr>
        <w:spacing w:after="120" w:line="260" w:lineRule="exact"/>
        <w:ind w:left="714" w:hanging="357"/>
        <w:contextualSpacing w:val="0"/>
        <w:jc w:val="both"/>
        <w:rPr>
          <w:rFonts w:ascii="Times New Roman" w:hAnsi="Times New Roman"/>
          <w:szCs w:val="22"/>
        </w:rPr>
      </w:pPr>
      <w:r w:rsidRPr="000554F2">
        <w:rPr>
          <w:rFonts w:ascii="Times New Roman" w:hAnsi="Times New Roman"/>
          <w:szCs w:val="22"/>
        </w:rPr>
        <w:t>A sha-miR-24 és a hsa-miR-28 emelkedett szintje sporadikus mellékpajzsmirigy adenomákban… nem mutatott összefüggést a menin festődéssel”…ugyanakkor az összegzésben azt mondja, hogy ezek a miR-ek szerepet játszhatnak ezekben a daganatokban a MEN1 gén csendesítésében. Ez ellentmondásnak tűnik, amit fel kellene oldani.</w:t>
      </w:r>
    </w:p>
    <w:p w:rsidR="00876FD6" w:rsidRPr="000554F2" w:rsidRDefault="00876FD6" w:rsidP="00B84DF0">
      <w:pPr>
        <w:pStyle w:val="ListParagraph"/>
        <w:spacing w:after="120" w:line="260" w:lineRule="exact"/>
        <w:ind w:left="357"/>
        <w:contextualSpacing w:val="0"/>
        <w:jc w:val="both"/>
        <w:rPr>
          <w:rFonts w:ascii="Times New Roman" w:hAnsi="Times New Roman"/>
          <w:szCs w:val="22"/>
          <w:lang w:val="hu-HU"/>
        </w:rPr>
      </w:pPr>
      <w:r w:rsidRPr="000554F2">
        <w:rPr>
          <w:rFonts w:ascii="Times New Roman" w:hAnsi="Times New Roman"/>
          <w:szCs w:val="22"/>
          <w:lang w:val="hu-HU"/>
        </w:rPr>
        <w:t xml:space="preserve">Válasz: Hálásan köszönöm a kérdést. A miR-24, miR-28 és </w:t>
      </w:r>
      <w:r w:rsidRPr="000554F2">
        <w:rPr>
          <w:rFonts w:ascii="Times New Roman" w:hAnsi="Times New Roman"/>
          <w:i/>
          <w:szCs w:val="22"/>
          <w:lang w:val="hu-HU"/>
        </w:rPr>
        <w:t>MEN1</w:t>
      </w:r>
      <w:r w:rsidRPr="000554F2">
        <w:rPr>
          <w:rFonts w:ascii="Times New Roman" w:hAnsi="Times New Roman"/>
          <w:szCs w:val="22"/>
          <w:lang w:val="hu-HU"/>
        </w:rPr>
        <w:t xml:space="preserve"> gén kapcsolata összetett. A miR-24 direkt interakciót tud létesíteni a </w:t>
      </w:r>
      <w:r w:rsidRPr="000554F2">
        <w:rPr>
          <w:rFonts w:ascii="Times New Roman" w:hAnsi="Times New Roman"/>
          <w:i/>
          <w:szCs w:val="22"/>
          <w:lang w:val="hu-HU"/>
        </w:rPr>
        <w:t>MEN1</w:t>
      </w:r>
      <w:r w:rsidRPr="000554F2">
        <w:rPr>
          <w:rFonts w:ascii="Times New Roman" w:hAnsi="Times New Roman"/>
          <w:szCs w:val="22"/>
          <w:lang w:val="hu-HU"/>
        </w:rPr>
        <w:t xml:space="preserve"> 3’UTR-el és képes csendesíteni expresszióját, ugyanakkor a menin mint transzkripciós </w:t>
      </w:r>
      <w:r>
        <w:rPr>
          <w:rFonts w:ascii="Times New Roman" w:hAnsi="Times New Roman"/>
          <w:szCs w:val="22"/>
          <w:lang w:val="hu-HU"/>
        </w:rPr>
        <w:t>fak</w:t>
      </w:r>
      <w:r w:rsidRPr="000554F2">
        <w:rPr>
          <w:rFonts w:ascii="Times New Roman" w:hAnsi="Times New Roman"/>
          <w:szCs w:val="22"/>
          <w:lang w:val="hu-HU"/>
        </w:rPr>
        <w:t xml:space="preserve">tor stimulálja a miR-24 expresszióját. Eredményeink során a sporadikus, </w:t>
      </w:r>
      <w:r w:rsidRPr="000554F2">
        <w:rPr>
          <w:rFonts w:ascii="Times New Roman" w:hAnsi="Times New Roman"/>
          <w:i/>
          <w:szCs w:val="22"/>
          <w:lang w:val="hu-HU"/>
        </w:rPr>
        <w:t>MEN1</w:t>
      </w:r>
      <w:r w:rsidRPr="000554F2">
        <w:rPr>
          <w:rFonts w:ascii="Times New Roman" w:hAnsi="Times New Roman"/>
          <w:szCs w:val="22"/>
          <w:lang w:val="hu-HU"/>
        </w:rPr>
        <w:t xml:space="preserve"> mutációt nem hordozó mellékpajzsmirigy adenómákban ezeknek a mikroRNS-eknek az emelkedett szintjét igazoltuk a </w:t>
      </w:r>
      <w:r w:rsidRPr="000554F2">
        <w:rPr>
          <w:rFonts w:ascii="Times New Roman" w:hAnsi="Times New Roman"/>
          <w:i/>
          <w:szCs w:val="22"/>
          <w:lang w:val="hu-HU"/>
        </w:rPr>
        <w:t>MEN1</w:t>
      </w:r>
      <w:r w:rsidRPr="000554F2">
        <w:rPr>
          <w:rFonts w:ascii="Times New Roman" w:hAnsi="Times New Roman"/>
          <w:szCs w:val="22"/>
          <w:lang w:val="hu-HU"/>
        </w:rPr>
        <w:t xml:space="preserve"> mutációt hordozó daganatokhoz képest. Mivel a sporadikus daganatok közül 4 olyan volt, amiben a menin festődés negatív volt, de mutációt nem igazoltunk, felvetődik, hogy ezekben a daganatokban ezek a mikroRNS-eknek közrejátszottak a </w:t>
      </w:r>
      <w:r w:rsidRPr="000554F2">
        <w:rPr>
          <w:rFonts w:ascii="Times New Roman" w:hAnsi="Times New Roman"/>
          <w:i/>
          <w:szCs w:val="22"/>
          <w:lang w:val="hu-HU"/>
        </w:rPr>
        <w:t>MEN1</w:t>
      </w:r>
      <w:r w:rsidRPr="000554F2">
        <w:rPr>
          <w:rFonts w:ascii="Times New Roman" w:hAnsi="Times New Roman"/>
          <w:szCs w:val="22"/>
          <w:lang w:val="hu-HU"/>
        </w:rPr>
        <w:t xml:space="preserve"> csendesítésbe. A sporadikus daganatokban megfigyelt mikroRNS emelkedés természetes </w:t>
      </w:r>
      <w:r w:rsidRPr="000554F2">
        <w:rPr>
          <w:rFonts w:ascii="Times New Roman" w:hAnsi="Times New Roman"/>
          <w:i/>
          <w:szCs w:val="22"/>
          <w:lang w:val="hu-HU"/>
        </w:rPr>
        <w:t>MEN1</w:t>
      </w:r>
      <w:r w:rsidRPr="000554F2">
        <w:rPr>
          <w:rFonts w:ascii="Times New Roman" w:hAnsi="Times New Roman"/>
          <w:szCs w:val="22"/>
          <w:lang w:val="hu-HU"/>
        </w:rPr>
        <w:t xml:space="preserve"> mellett egyéb géneket is céloz, amelyek közül a mellékp</w:t>
      </w:r>
      <w:r>
        <w:rPr>
          <w:rFonts w:ascii="Times New Roman" w:hAnsi="Times New Roman"/>
          <w:szCs w:val="22"/>
          <w:lang w:val="hu-HU"/>
        </w:rPr>
        <w:t>ajzsmirigy ad</w:t>
      </w:r>
      <w:r w:rsidRPr="000554F2">
        <w:rPr>
          <w:rFonts w:ascii="Times New Roman" w:hAnsi="Times New Roman"/>
          <w:szCs w:val="22"/>
          <w:lang w:val="hu-HU"/>
        </w:rPr>
        <w:t>enómák vonatkozásában kiemelt jelentőségő a p21</w:t>
      </w:r>
      <w:r>
        <w:rPr>
          <w:rFonts w:ascii="Times New Roman" w:hAnsi="Times New Roman"/>
          <w:szCs w:val="22"/>
          <w:lang w:val="hu-HU"/>
        </w:rPr>
        <w:t>, hiszen génjének</w:t>
      </w:r>
      <w:r w:rsidRPr="000554F2">
        <w:rPr>
          <w:rFonts w:ascii="Times New Roman" w:hAnsi="Times New Roman"/>
          <w:szCs w:val="22"/>
          <w:lang w:val="hu-HU"/>
        </w:rPr>
        <w:t xml:space="preserve"> csírasejtes mutációja a MEN4 szindrómát okozza, amelynek manifesztációi hasonlítanak a MEN1 szindrómában találtakhoz. Ugyanakkor egy másik lehetséges magyarázat lehet az ellentmondásra a menin immunhisztokémia bizonytalansága</w:t>
      </w:r>
      <w:r>
        <w:rPr>
          <w:rFonts w:ascii="Times New Roman" w:hAnsi="Times New Roman"/>
          <w:szCs w:val="22"/>
          <w:lang w:val="hu-HU"/>
        </w:rPr>
        <w:t xml:space="preserve"> is</w:t>
      </w:r>
      <w:r w:rsidRPr="000554F2">
        <w:rPr>
          <w:rFonts w:ascii="Times New Roman" w:hAnsi="Times New Roman"/>
          <w:szCs w:val="22"/>
          <w:lang w:val="hu-HU"/>
        </w:rPr>
        <w:t xml:space="preserve">. Munkánkban a biztosan </w:t>
      </w:r>
      <w:r w:rsidRPr="000554F2">
        <w:rPr>
          <w:rFonts w:ascii="Times New Roman" w:hAnsi="Times New Roman"/>
          <w:i/>
          <w:szCs w:val="22"/>
          <w:lang w:val="hu-HU"/>
        </w:rPr>
        <w:t>MEN1</w:t>
      </w:r>
      <w:r w:rsidRPr="000554F2">
        <w:rPr>
          <w:rFonts w:ascii="Times New Roman" w:hAnsi="Times New Roman"/>
          <w:szCs w:val="22"/>
          <w:lang w:val="hu-HU"/>
        </w:rPr>
        <w:t xml:space="preserve"> mutációt hordozó szövetek vizsgálatával kimutattuk, hogy ezzel az antitesttel végzett immunhisztokémia 82,6 % szenzitivitással és 89,7%-os specificitással bírt a </w:t>
      </w:r>
      <w:r w:rsidRPr="000554F2">
        <w:rPr>
          <w:rFonts w:ascii="Times New Roman" w:hAnsi="Times New Roman"/>
          <w:i/>
          <w:szCs w:val="22"/>
          <w:lang w:val="hu-HU"/>
        </w:rPr>
        <w:t>MEN1</w:t>
      </w:r>
      <w:r w:rsidRPr="000554F2">
        <w:rPr>
          <w:rFonts w:ascii="Times New Roman" w:hAnsi="Times New Roman"/>
          <w:szCs w:val="22"/>
          <w:lang w:val="hu-HU"/>
        </w:rPr>
        <w:t xml:space="preserve"> mutáció jelenlétére nézve</w:t>
      </w:r>
      <w:r>
        <w:rPr>
          <w:rFonts w:ascii="Times New Roman" w:hAnsi="Times New Roman"/>
          <w:szCs w:val="22"/>
          <w:lang w:val="hu-HU"/>
        </w:rPr>
        <w:t>, ami okozhatta a korreláció hiányát</w:t>
      </w:r>
      <w:r w:rsidRPr="000554F2">
        <w:rPr>
          <w:rFonts w:ascii="Times New Roman" w:hAnsi="Times New Roman"/>
          <w:szCs w:val="22"/>
          <w:lang w:val="hu-HU"/>
        </w:rPr>
        <w:t>.</w:t>
      </w:r>
    </w:p>
    <w:p w:rsidR="00876FD6" w:rsidRPr="000554F2" w:rsidRDefault="00876FD6" w:rsidP="00657721">
      <w:pPr>
        <w:spacing w:line="260" w:lineRule="exact"/>
        <w:jc w:val="both"/>
        <w:rPr>
          <w:color w:val="000000"/>
          <w:sz w:val="22"/>
          <w:szCs w:val="22"/>
        </w:rPr>
      </w:pPr>
    </w:p>
    <w:p w:rsidR="00876FD6" w:rsidRPr="000554F2" w:rsidRDefault="00876FD6" w:rsidP="0047303C">
      <w:pPr>
        <w:spacing w:line="260" w:lineRule="exact"/>
        <w:jc w:val="both"/>
        <w:rPr>
          <w:color w:val="000000"/>
          <w:sz w:val="22"/>
          <w:szCs w:val="22"/>
        </w:rPr>
      </w:pPr>
      <w:r w:rsidRPr="000554F2">
        <w:rPr>
          <w:color w:val="000000"/>
          <w:sz w:val="22"/>
          <w:szCs w:val="22"/>
        </w:rPr>
        <w:t>Végezetül hálásan köszönöm Krenács Tibor</w:t>
      </w:r>
      <w:r>
        <w:rPr>
          <w:color w:val="000000"/>
          <w:sz w:val="22"/>
          <w:szCs w:val="22"/>
        </w:rPr>
        <w:t xml:space="preserve"> dr.</w:t>
      </w:r>
      <w:r w:rsidRPr="000554F2">
        <w:rPr>
          <w:color w:val="000000"/>
          <w:sz w:val="22"/>
          <w:szCs w:val="22"/>
        </w:rPr>
        <w:t xml:space="preserve"> alapos bírálói munkáját, gondolatébresztő kérdéseit és tisztelettel kérem válaszaim elfogadását.</w:t>
      </w:r>
    </w:p>
    <w:p w:rsidR="00876FD6" w:rsidRPr="000554F2" w:rsidRDefault="00876FD6" w:rsidP="00657721">
      <w:pPr>
        <w:spacing w:line="260" w:lineRule="exact"/>
        <w:jc w:val="both"/>
        <w:rPr>
          <w:color w:val="000000"/>
          <w:sz w:val="22"/>
          <w:szCs w:val="22"/>
        </w:rPr>
      </w:pPr>
    </w:p>
    <w:p w:rsidR="00876FD6" w:rsidRPr="000554F2" w:rsidRDefault="00876FD6" w:rsidP="00C57DA2">
      <w:pPr>
        <w:spacing w:after="120" w:line="260" w:lineRule="exact"/>
        <w:jc w:val="both"/>
        <w:rPr>
          <w:color w:val="000000"/>
          <w:sz w:val="22"/>
          <w:szCs w:val="22"/>
        </w:rPr>
      </w:pPr>
    </w:p>
    <w:p w:rsidR="00876FD6" w:rsidRPr="000554F2" w:rsidRDefault="00876FD6" w:rsidP="00C57DA2">
      <w:pPr>
        <w:spacing w:after="120" w:line="260" w:lineRule="exact"/>
        <w:jc w:val="both"/>
        <w:rPr>
          <w:color w:val="000000"/>
          <w:sz w:val="22"/>
          <w:szCs w:val="22"/>
        </w:rPr>
      </w:pPr>
      <w:r w:rsidRPr="000554F2">
        <w:rPr>
          <w:color w:val="000000"/>
          <w:sz w:val="22"/>
          <w:szCs w:val="22"/>
        </w:rPr>
        <w:t xml:space="preserve">Budapest, 2018. április 23. </w:t>
      </w:r>
    </w:p>
    <w:p w:rsidR="00876FD6" w:rsidRPr="000554F2" w:rsidRDefault="00876FD6" w:rsidP="00C57DA2">
      <w:pPr>
        <w:spacing w:line="260" w:lineRule="exact"/>
        <w:jc w:val="both"/>
        <w:rPr>
          <w:color w:val="000000"/>
          <w:sz w:val="22"/>
          <w:szCs w:val="22"/>
        </w:rPr>
      </w:pPr>
      <w:r w:rsidRPr="000554F2">
        <w:rPr>
          <w:color w:val="000000"/>
          <w:sz w:val="22"/>
          <w:szCs w:val="22"/>
        </w:rPr>
        <w:tab/>
      </w:r>
      <w:r w:rsidRPr="000554F2">
        <w:rPr>
          <w:color w:val="000000"/>
          <w:sz w:val="22"/>
          <w:szCs w:val="22"/>
        </w:rPr>
        <w:tab/>
      </w:r>
      <w:r w:rsidRPr="000554F2">
        <w:rPr>
          <w:color w:val="000000"/>
          <w:sz w:val="22"/>
          <w:szCs w:val="22"/>
        </w:rPr>
        <w:tab/>
      </w:r>
      <w:r w:rsidRPr="000554F2">
        <w:rPr>
          <w:color w:val="000000"/>
          <w:sz w:val="22"/>
          <w:szCs w:val="22"/>
        </w:rPr>
        <w:tab/>
      </w:r>
      <w:r w:rsidRPr="000554F2">
        <w:rPr>
          <w:color w:val="000000"/>
          <w:sz w:val="22"/>
          <w:szCs w:val="22"/>
        </w:rPr>
        <w:tab/>
      </w:r>
      <w:r w:rsidRPr="000554F2">
        <w:rPr>
          <w:color w:val="000000"/>
          <w:sz w:val="22"/>
          <w:szCs w:val="22"/>
        </w:rPr>
        <w:tab/>
      </w:r>
      <w:r w:rsidRPr="000554F2">
        <w:rPr>
          <w:color w:val="000000"/>
          <w:sz w:val="22"/>
          <w:szCs w:val="22"/>
        </w:rPr>
        <w:tab/>
      </w:r>
    </w:p>
    <w:p w:rsidR="00876FD6" w:rsidRPr="000554F2" w:rsidRDefault="00876FD6" w:rsidP="003438A0">
      <w:pPr>
        <w:spacing w:line="260" w:lineRule="exact"/>
        <w:jc w:val="both"/>
        <w:rPr>
          <w:color w:val="000000"/>
          <w:sz w:val="22"/>
          <w:szCs w:val="22"/>
        </w:rPr>
      </w:pPr>
      <w:r w:rsidRPr="000554F2">
        <w:rPr>
          <w:color w:val="000000"/>
          <w:sz w:val="22"/>
          <w:szCs w:val="22"/>
        </w:rPr>
        <w:t xml:space="preserve">Dr. </w:t>
      </w:r>
      <w:r>
        <w:rPr>
          <w:color w:val="000000"/>
          <w:sz w:val="22"/>
          <w:szCs w:val="22"/>
        </w:rPr>
        <w:t>Patócs Attila</w:t>
      </w:r>
    </w:p>
    <w:p w:rsidR="00876FD6" w:rsidRPr="000554F2" w:rsidRDefault="00876FD6" w:rsidP="004D1699">
      <w:pPr>
        <w:spacing w:line="260" w:lineRule="exact"/>
        <w:jc w:val="center"/>
        <w:rPr>
          <w:color w:val="000000"/>
          <w:sz w:val="22"/>
          <w:szCs w:val="22"/>
        </w:rPr>
      </w:pPr>
      <w:r w:rsidRPr="000554F2">
        <w:rPr>
          <w:color w:val="000000"/>
          <w:sz w:val="22"/>
          <w:szCs w:val="22"/>
        </w:rPr>
        <w:t xml:space="preserve">                                                                                                        </w:t>
      </w:r>
    </w:p>
    <w:p w:rsidR="00876FD6" w:rsidRPr="000554F2" w:rsidRDefault="00876FD6" w:rsidP="004D1699">
      <w:pPr>
        <w:spacing w:line="260" w:lineRule="exact"/>
        <w:jc w:val="center"/>
        <w:rPr>
          <w:color w:val="000000"/>
          <w:sz w:val="22"/>
          <w:szCs w:val="22"/>
        </w:rPr>
      </w:pPr>
    </w:p>
    <w:p w:rsidR="00876FD6" w:rsidRPr="000554F2" w:rsidRDefault="00876FD6" w:rsidP="004D1699">
      <w:pPr>
        <w:spacing w:line="260" w:lineRule="exact"/>
        <w:jc w:val="center"/>
        <w:rPr>
          <w:color w:val="000000"/>
          <w:sz w:val="22"/>
          <w:szCs w:val="22"/>
        </w:rPr>
      </w:pPr>
    </w:p>
    <w:p w:rsidR="00876FD6" w:rsidRPr="000554F2" w:rsidRDefault="00876FD6" w:rsidP="004D1699">
      <w:pPr>
        <w:spacing w:line="260" w:lineRule="exact"/>
        <w:jc w:val="center"/>
        <w:rPr>
          <w:color w:val="000000"/>
          <w:sz w:val="22"/>
          <w:szCs w:val="22"/>
        </w:rPr>
      </w:pPr>
    </w:p>
    <w:p w:rsidR="00876FD6" w:rsidRPr="000554F2" w:rsidRDefault="00876FD6" w:rsidP="004D1699">
      <w:pPr>
        <w:spacing w:line="260" w:lineRule="exact"/>
        <w:jc w:val="center"/>
        <w:rPr>
          <w:color w:val="000000"/>
          <w:sz w:val="22"/>
          <w:szCs w:val="22"/>
        </w:rPr>
      </w:pPr>
    </w:p>
    <w:p w:rsidR="00876FD6" w:rsidRPr="000554F2" w:rsidRDefault="00876FD6" w:rsidP="004D1699">
      <w:pPr>
        <w:spacing w:line="260" w:lineRule="exact"/>
        <w:jc w:val="center"/>
        <w:rPr>
          <w:color w:val="000000"/>
          <w:sz w:val="22"/>
          <w:szCs w:val="22"/>
        </w:rPr>
      </w:pPr>
    </w:p>
    <w:p w:rsidR="00876FD6" w:rsidRPr="000554F2" w:rsidRDefault="00876FD6" w:rsidP="004D1699">
      <w:pPr>
        <w:spacing w:line="260" w:lineRule="exact"/>
        <w:jc w:val="center"/>
        <w:rPr>
          <w:color w:val="000000"/>
          <w:sz w:val="22"/>
          <w:szCs w:val="22"/>
        </w:rPr>
      </w:pPr>
    </w:p>
    <w:p w:rsidR="00876FD6" w:rsidRPr="000554F2" w:rsidRDefault="00876FD6" w:rsidP="004D1699">
      <w:pPr>
        <w:spacing w:line="260" w:lineRule="exact"/>
        <w:jc w:val="center"/>
        <w:rPr>
          <w:color w:val="000000"/>
          <w:sz w:val="22"/>
          <w:szCs w:val="22"/>
        </w:rPr>
      </w:pPr>
    </w:p>
    <w:p w:rsidR="00876FD6" w:rsidRPr="000554F2" w:rsidRDefault="00876FD6" w:rsidP="004D1699">
      <w:pPr>
        <w:spacing w:line="260" w:lineRule="exact"/>
        <w:jc w:val="center"/>
        <w:rPr>
          <w:color w:val="000000"/>
          <w:sz w:val="22"/>
          <w:szCs w:val="22"/>
        </w:rPr>
      </w:pPr>
    </w:p>
    <w:p w:rsidR="00876FD6" w:rsidRPr="000554F2" w:rsidRDefault="00876FD6" w:rsidP="004D1699">
      <w:pPr>
        <w:spacing w:line="260" w:lineRule="exact"/>
        <w:jc w:val="center"/>
        <w:rPr>
          <w:color w:val="000000"/>
          <w:sz w:val="22"/>
          <w:szCs w:val="22"/>
        </w:rPr>
      </w:pPr>
    </w:p>
    <w:p w:rsidR="00876FD6" w:rsidRPr="000554F2" w:rsidRDefault="00876FD6" w:rsidP="004D1699">
      <w:pPr>
        <w:spacing w:line="260" w:lineRule="exact"/>
        <w:jc w:val="center"/>
        <w:rPr>
          <w:color w:val="000000"/>
          <w:sz w:val="22"/>
          <w:szCs w:val="22"/>
        </w:rPr>
      </w:pPr>
    </w:p>
    <w:p w:rsidR="00876FD6" w:rsidRPr="000554F2" w:rsidRDefault="00876FD6" w:rsidP="004D1699">
      <w:pPr>
        <w:spacing w:line="260" w:lineRule="exact"/>
        <w:jc w:val="center"/>
        <w:rPr>
          <w:color w:val="000000"/>
          <w:sz w:val="22"/>
          <w:szCs w:val="22"/>
        </w:rPr>
      </w:pPr>
    </w:p>
    <w:p w:rsidR="00876FD6" w:rsidRPr="000554F2" w:rsidRDefault="00876FD6" w:rsidP="003438A0">
      <w:pPr>
        <w:tabs>
          <w:tab w:val="left" w:pos="5710"/>
        </w:tabs>
        <w:rPr>
          <w:color w:val="000000"/>
          <w:sz w:val="22"/>
          <w:szCs w:val="22"/>
        </w:rPr>
      </w:pPr>
    </w:p>
    <w:sectPr w:rsidR="00876FD6" w:rsidRPr="000554F2" w:rsidSect="00EE29A0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FD6" w:rsidRDefault="00876FD6" w:rsidP="007E3A7A">
      <w:r>
        <w:separator/>
      </w:r>
    </w:p>
  </w:endnote>
  <w:endnote w:type="continuationSeparator" w:id="0">
    <w:p w:rsidR="00876FD6" w:rsidRDefault="00876FD6" w:rsidP="007E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FD6" w:rsidRDefault="00876FD6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876FD6" w:rsidRDefault="00876F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FD6" w:rsidRDefault="00876FD6" w:rsidP="007E3A7A">
      <w:r>
        <w:separator/>
      </w:r>
    </w:p>
  </w:footnote>
  <w:footnote w:type="continuationSeparator" w:id="0">
    <w:p w:rsidR="00876FD6" w:rsidRDefault="00876FD6" w:rsidP="007E3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C8A"/>
    <w:multiLevelType w:val="hybridMultilevel"/>
    <w:tmpl w:val="ED5684BC"/>
    <w:lvl w:ilvl="0" w:tplc="B69AB9A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A738E"/>
    <w:multiLevelType w:val="hybridMultilevel"/>
    <w:tmpl w:val="CF02277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B04913"/>
    <w:multiLevelType w:val="hybridMultilevel"/>
    <w:tmpl w:val="BAA86F9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6B779B"/>
    <w:multiLevelType w:val="hybridMultilevel"/>
    <w:tmpl w:val="7E8EA6CE"/>
    <w:lvl w:ilvl="0" w:tplc="5A7017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AB4676"/>
    <w:multiLevelType w:val="hybridMultilevel"/>
    <w:tmpl w:val="DC5A07C6"/>
    <w:lvl w:ilvl="0" w:tplc="040E000F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32BCC"/>
    <w:multiLevelType w:val="hybridMultilevel"/>
    <w:tmpl w:val="9A76420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396A4E"/>
    <w:multiLevelType w:val="hybridMultilevel"/>
    <w:tmpl w:val="DCA0A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4665A"/>
    <w:multiLevelType w:val="hybridMultilevel"/>
    <w:tmpl w:val="8F02E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62B79"/>
    <w:multiLevelType w:val="hybridMultilevel"/>
    <w:tmpl w:val="2E12B81E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9CC"/>
    <w:rsid w:val="0000509A"/>
    <w:rsid w:val="00010E96"/>
    <w:rsid w:val="000148F5"/>
    <w:rsid w:val="0002097D"/>
    <w:rsid w:val="000226F3"/>
    <w:rsid w:val="00024C5E"/>
    <w:rsid w:val="000405C6"/>
    <w:rsid w:val="00047345"/>
    <w:rsid w:val="000477BE"/>
    <w:rsid w:val="000554F2"/>
    <w:rsid w:val="00057002"/>
    <w:rsid w:val="00060538"/>
    <w:rsid w:val="00070FB6"/>
    <w:rsid w:val="00075406"/>
    <w:rsid w:val="00075A82"/>
    <w:rsid w:val="00077DC7"/>
    <w:rsid w:val="0008252F"/>
    <w:rsid w:val="000873DD"/>
    <w:rsid w:val="0009723A"/>
    <w:rsid w:val="000A0E7C"/>
    <w:rsid w:val="000A137A"/>
    <w:rsid w:val="000B395C"/>
    <w:rsid w:val="000B4BD2"/>
    <w:rsid w:val="000B521B"/>
    <w:rsid w:val="000B56ED"/>
    <w:rsid w:val="000B788E"/>
    <w:rsid w:val="000C3953"/>
    <w:rsid w:val="000C43C1"/>
    <w:rsid w:val="000C47A5"/>
    <w:rsid w:val="000D0C07"/>
    <w:rsid w:val="000D26D6"/>
    <w:rsid w:val="000D75E3"/>
    <w:rsid w:val="000E78CC"/>
    <w:rsid w:val="000F03B9"/>
    <w:rsid w:val="000F456A"/>
    <w:rsid w:val="00103D9C"/>
    <w:rsid w:val="00104405"/>
    <w:rsid w:val="001058AF"/>
    <w:rsid w:val="00106119"/>
    <w:rsid w:val="00106C34"/>
    <w:rsid w:val="001105F5"/>
    <w:rsid w:val="00115E97"/>
    <w:rsid w:val="00122D85"/>
    <w:rsid w:val="00127FE2"/>
    <w:rsid w:val="00130F71"/>
    <w:rsid w:val="00152F46"/>
    <w:rsid w:val="00153365"/>
    <w:rsid w:val="0015460C"/>
    <w:rsid w:val="00157637"/>
    <w:rsid w:val="00165445"/>
    <w:rsid w:val="00166E7F"/>
    <w:rsid w:val="00170405"/>
    <w:rsid w:val="00173825"/>
    <w:rsid w:val="00175118"/>
    <w:rsid w:val="001811C4"/>
    <w:rsid w:val="00181AB6"/>
    <w:rsid w:val="00185CF5"/>
    <w:rsid w:val="00191260"/>
    <w:rsid w:val="00195EFC"/>
    <w:rsid w:val="00196EE4"/>
    <w:rsid w:val="00197F79"/>
    <w:rsid w:val="001A186A"/>
    <w:rsid w:val="001A2BEB"/>
    <w:rsid w:val="001A59BD"/>
    <w:rsid w:val="001B56B0"/>
    <w:rsid w:val="001B6517"/>
    <w:rsid w:val="001C06A1"/>
    <w:rsid w:val="001C4590"/>
    <w:rsid w:val="001C4606"/>
    <w:rsid w:val="001C523C"/>
    <w:rsid w:val="001C586F"/>
    <w:rsid w:val="001C5BC6"/>
    <w:rsid w:val="001D087B"/>
    <w:rsid w:val="001D4B84"/>
    <w:rsid w:val="001D5FAA"/>
    <w:rsid w:val="001E3BD3"/>
    <w:rsid w:val="001E411F"/>
    <w:rsid w:val="001E481B"/>
    <w:rsid w:val="001E4AF0"/>
    <w:rsid w:val="001E5785"/>
    <w:rsid w:val="001F2D14"/>
    <w:rsid w:val="001F36E5"/>
    <w:rsid w:val="001F6851"/>
    <w:rsid w:val="001F6E5E"/>
    <w:rsid w:val="0020177F"/>
    <w:rsid w:val="00204BA8"/>
    <w:rsid w:val="00210549"/>
    <w:rsid w:val="00212138"/>
    <w:rsid w:val="00212491"/>
    <w:rsid w:val="002128DB"/>
    <w:rsid w:val="0021310A"/>
    <w:rsid w:val="00215B87"/>
    <w:rsid w:val="002202CA"/>
    <w:rsid w:val="00223533"/>
    <w:rsid w:val="00223709"/>
    <w:rsid w:val="0023067D"/>
    <w:rsid w:val="0023100A"/>
    <w:rsid w:val="00237426"/>
    <w:rsid w:val="0024097B"/>
    <w:rsid w:val="002433EA"/>
    <w:rsid w:val="00246F89"/>
    <w:rsid w:val="00247AB9"/>
    <w:rsid w:val="00252FCA"/>
    <w:rsid w:val="0025385D"/>
    <w:rsid w:val="00261214"/>
    <w:rsid w:val="00273307"/>
    <w:rsid w:val="00281346"/>
    <w:rsid w:val="00282BAC"/>
    <w:rsid w:val="0028660C"/>
    <w:rsid w:val="00292E73"/>
    <w:rsid w:val="00294522"/>
    <w:rsid w:val="00295966"/>
    <w:rsid w:val="00296453"/>
    <w:rsid w:val="00297CDF"/>
    <w:rsid w:val="002A56DD"/>
    <w:rsid w:val="002A6872"/>
    <w:rsid w:val="002B0C9D"/>
    <w:rsid w:val="002B1BD4"/>
    <w:rsid w:val="002B1F74"/>
    <w:rsid w:val="002B416B"/>
    <w:rsid w:val="002B453E"/>
    <w:rsid w:val="002B5BF5"/>
    <w:rsid w:val="002C3738"/>
    <w:rsid w:val="002C64D4"/>
    <w:rsid w:val="002C6CE9"/>
    <w:rsid w:val="002C6D5A"/>
    <w:rsid w:val="002C6DDA"/>
    <w:rsid w:val="002D01C7"/>
    <w:rsid w:val="002D2016"/>
    <w:rsid w:val="002E0857"/>
    <w:rsid w:val="002E210A"/>
    <w:rsid w:val="002E5AA5"/>
    <w:rsid w:val="002F372B"/>
    <w:rsid w:val="002F6FDF"/>
    <w:rsid w:val="002F7E4A"/>
    <w:rsid w:val="00300845"/>
    <w:rsid w:val="00302556"/>
    <w:rsid w:val="003039E9"/>
    <w:rsid w:val="00312E0B"/>
    <w:rsid w:val="003172B5"/>
    <w:rsid w:val="0032136D"/>
    <w:rsid w:val="0032442D"/>
    <w:rsid w:val="0033088E"/>
    <w:rsid w:val="003317FB"/>
    <w:rsid w:val="003327C7"/>
    <w:rsid w:val="00334707"/>
    <w:rsid w:val="00336BD0"/>
    <w:rsid w:val="00336CFC"/>
    <w:rsid w:val="00340314"/>
    <w:rsid w:val="00341822"/>
    <w:rsid w:val="003438A0"/>
    <w:rsid w:val="003446A1"/>
    <w:rsid w:val="00345089"/>
    <w:rsid w:val="00345335"/>
    <w:rsid w:val="00350D8A"/>
    <w:rsid w:val="00360569"/>
    <w:rsid w:val="00361B6F"/>
    <w:rsid w:val="0036542B"/>
    <w:rsid w:val="00365826"/>
    <w:rsid w:val="00366166"/>
    <w:rsid w:val="00371123"/>
    <w:rsid w:val="00372AB4"/>
    <w:rsid w:val="003749AB"/>
    <w:rsid w:val="003749EE"/>
    <w:rsid w:val="003776AD"/>
    <w:rsid w:val="00380990"/>
    <w:rsid w:val="00382898"/>
    <w:rsid w:val="00387118"/>
    <w:rsid w:val="00390DF5"/>
    <w:rsid w:val="00391CFA"/>
    <w:rsid w:val="00392D7B"/>
    <w:rsid w:val="00394D4B"/>
    <w:rsid w:val="003A239A"/>
    <w:rsid w:val="003A3965"/>
    <w:rsid w:val="003A46FE"/>
    <w:rsid w:val="003A55AE"/>
    <w:rsid w:val="003B2AEF"/>
    <w:rsid w:val="003C045F"/>
    <w:rsid w:val="003C14B4"/>
    <w:rsid w:val="003C382D"/>
    <w:rsid w:val="003C3B66"/>
    <w:rsid w:val="003C4017"/>
    <w:rsid w:val="003D04AC"/>
    <w:rsid w:val="003E163D"/>
    <w:rsid w:val="003E17F1"/>
    <w:rsid w:val="003E308B"/>
    <w:rsid w:val="003F0A33"/>
    <w:rsid w:val="003F279A"/>
    <w:rsid w:val="003F57CD"/>
    <w:rsid w:val="003F690F"/>
    <w:rsid w:val="00400CC1"/>
    <w:rsid w:val="0040367A"/>
    <w:rsid w:val="00406104"/>
    <w:rsid w:val="00411D20"/>
    <w:rsid w:val="00416DDD"/>
    <w:rsid w:val="00421D46"/>
    <w:rsid w:val="00424246"/>
    <w:rsid w:val="0043005D"/>
    <w:rsid w:val="0043069C"/>
    <w:rsid w:val="004554C8"/>
    <w:rsid w:val="00457169"/>
    <w:rsid w:val="00465F7E"/>
    <w:rsid w:val="0047303C"/>
    <w:rsid w:val="004731E9"/>
    <w:rsid w:val="00473597"/>
    <w:rsid w:val="004776F9"/>
    <w:rsid w:val="004836BE"/>
    <w:rsid w:val="00487A3F"/>
    <w:rsid w:val="00490C1F"/>
    <w:rsid w:val="00496F27"/>
    <w:rsid w:val="00497E37"/>
    <w:rsid w:val="004A1DB4"/>
    <w:rsid w:val="004A3A61"/>
    <w:rsid w:val="004A3DAF"/>
    <w:rsid w:val="004A4D56"/>
    <w:rsid w:val="004A601A"/>
    <w:rsid w:val="004A63CB"/>
    <w:rsid w:val="004A7C01"/>
    <w:rsid w:val="004B5443"/>
    <w:rsid w:val="004B589E"/>
    <w:rsid w:val="004C295F"/>
    <w:rsid w:val="004C401F"/>
    <w:rsid w:val="004C57E7"/>
    <w:rsid w:val="004C5F7F"/>
    <w:rsid w:val="004C7206"/>
    <w:rsid w:val="004D1699"/>
    <w:rsid w:val="004D461F"/>
    <w:rsid w:val="004D5620"/>
    <w:rsid w:val="004E3E58"/>
    <w:rsid w:val="004F4265"/>
    <w:rsid w:val="00506FBC"/>
    <w:rsid w:val="005071D3"/>
    <w:rsid w:val="00511789"/>
    <w:rsid w:val="00511D0B"/>
    <w:rsid w:val="005131A2"/>
    <w:rsid w:val="005203CF"/>
    <w:rsid w:val="005216E4"/>
    <w:rsid w:val="00524AB1"/>
    <w:rsid w:val="00524AB9"/>
    <w:rsid w:val="005300E1"/>
    <w:rsid w:val="005315BE"/>
    <w:rsid w:val="0053193B"/>
    <w:rsid w:val="005352A1"/>
    <w:rsid w:val="0054093B"/>
    <w:rsid w:val="00545546"/>
    <w:rsid w:val="005526FA"/>
    <w:rsid w:val="005609DF"/>
    <w:rsid w:val="00565A7B"/>
    <w:rsid w:val="00566C94"/>
    <w:rsid w:val="0056707E"/>
    <w:rsid w:val="0057425A"/>
    <w:rsid w:val="005802B5"/>
    <w:rsid w:val="005835DA"/>
    <w:rsid w:val="00592A88"/>
    <w:rsid w:val="005A1B5C"/>
    <w:rsid w:val="005A5CE6"/>
    <w:rsid w:val="005B11B4"/>
    <w:rsid w:val="005B3068"/>
    <w:rsid w:val="005C4D32"/>
    <w:rsid w:val="005C550F"/>
    <w:rsid w:val="005C5B7D"/>
    <w:rsid w:val="005C7DCC"/>
    <w:rsid w:val="005D665A"/>
    <w:rsid w:val="005E4AAF"/>
    <w:rsid w:val="005E5562"/>
    <w:rsid w:val="005E5F61"/>
    <w:rsid w:val="005E7B48"/>
    <w:rsid w:val="005E7CEB"/>
    <w:rsid w:val="005F06E4"/>
    <w:rsid w:val="005F316D"/>
    <w:rsid w:val="005F7FDE"/>
    <w:rsid w:val="00610B48"/>
    <w:rsid w:val="00611BDA"/>
    <w:rsid w:val="006122C1"/>
    <w:rsid w:val="0061286E"/>
    <w:rsid w:val="006149AB"/>
    <w:rsid w:val="00616CDF"/>
    <w:rsid w:val="00620443"/>
    <w:rsid w:val="006212B3"/>
    <w:rsid w:val="006223D6"/>
    <w:rsid w:val="006241CF"/>
    <w:rsid w:val="00624519"/>
    <w:rsid w:val="00627670"/>
    <w:rsid w:val="006276C7"/>
    <w:rsid w:val="00640CD2"/>
    <w:rsid w:val="00641B17"/>
    <w:rsid w:val="00643B6B"/>
    <w:rsid w:val="006454A0"/>
    <w:rsid w:val="00645AE3"/>
    <w:rsid w:val="006500FF"/>
    <w:rsid w:val="006508F2"/>
    <w:rsid w:val="00651EBF"/>
    <w:rsid w:val="00652558"/>
    <w:rsid w:val="006529CC"/>
    <w:rsid w:val="006568D7"/>
    <w:rsid w:val="00657721"/>
    <w:rsid w:val="0066136D"/>
    <w:rsid w:val="00661432"/>
    <w:rsid w:val="00661520"/>
    <w:rsid w:val="006671D2"/>
    <w:rsid w:val="00673205"/>
    <w:rsid w:val="006739B6"/>
    <w:rsid w:val="006752A5"/>
    <w:rsid w:val="00676DE3"/>
    <w:rsid w:val="00687AA5"/>
    <w:rsid w:val="006900A8"/>
    <w:rsid w:val="00693800"/>
    <w:rsid w:val="006945B1"/>
    <w:rsid w:val="006A4914"/>
    <w:rsid w:val="006A7D9C"/>
    <w:rsid w:val="006B00C3"/>
    <w:rsid w:val="006B15DE"/>
    <w:rsid w:val="006C1B68"/>
    <w:rsid w:val="006C2206"/>
    <w:rsid w:val="006C3997"/>
    <w:rsid w:val="006C4454"/>
    <w:rsid w:val="006C641A"/>
    <w:rsid w:val="006C73C6"/>
    <w:rsid w:val="006D0711"/>
    <w:rsid w:val="006D2664"/>
    <w:rsid w:val="006D71FC"/>
    <w:rsid w:val="006D7738"/>
    <w:rsid w:val="006E0550"/>
    <w:rsid w:val="006E0B3F"/>
    <w:rsid w:val="006E6027"/>
    <w:rsid w:val="006F39FB"/>
    <w:rsid w:val="00700F46"/>
    <w:rsid w:val="00702803"/>
    <w:rsid w:val="00703F0F"/>
    <w:rsid w:val="007045E0"/>
    <w:rsid w:val="007153AF"/>
    <w:rsid w:val="00715B91"/>
    <w:rsid w:val="00720B27"/>
    <w:rsid w:val="00723DD2"/>
    <w:rsid w:val="007267B3"/>
    <w:rsid w:val="007368D8"/>
    <w:rsid w:val="00742FDD"/>
    <w:rsid w:val="0075102B"/>
    <w:rsid w:val="00751187"/>
    <w:rsid w:val="007552B2"/>
    <w:rsid w:val="00760DAB"/>
    <w:rsid w:val="00767021"/>
    <w:rsid w:val="007714BD"/>
    <w:rsid w:val="00774530"/>
    <w:rsid w:val="00775841"/>
    <w:rsid w:val="007A0178"/>
    <w:rsid w:val="007A06F7"/>
    <w:rsid w:val="007A5E55"/>
    <w:rsid w:val="007B4A3C"/>
    <w:rsid w:val="007B732E"/>
    <w:rsid w:val="007C25BC"/>
    <w:rsid w:val="007D0F22"/>
    <w:rsid w:val="007D2272"/>
    <w:rsid w:val="007D2A33"/>
    <w:rsid w:val="007E061B"/>
    <w:rsid w:val="007E116D"/>
    <w:rsid w:val="007E24AA"/>
    <w:rsid w:val="007E24D4"/>
    <w:rsid w:val="007E3A7A"/>
    <w:rsid w:val="007E4AC5"/>
    <w:rsid w:val="007E51F8"/>
    <w:rsid w:val="007E7605"/>
    <w:rsid w:val="008002CD"/>
    <w:rsid w:val="00802D25"/>
    <w:rsid w:val="00803C77"/>
    <w:rsid w:val="00805D2D"/>
    <w:rsid w:val="00806F79"/>
    <w:rsid w:val="00810D96"/>
    <w:rsid w:val="008141E5"/>
    <w:rsid w:val="008156E9"/>
    <w:rsid w:val="0081736A"/>
    <w:rsid w:val="00817834"/>
    <w:rsid w:val="0082292C"/>
    <w:rsid w:val="00823C41"/>
    <w:rsid w:val="00824024"/>
    <w:rsid w:val="008319E1"/>
    <w:rsid w:val="00835DDE"/>
    <w:rsid w:val="0084088B"/>
    <w:rsid w:val="00844B6E"/>
    <w:rsid w:val="00844E8B"/>
    <w:rsid w:val="008466AF"/>
    <w:rsid w:val="008468DA"/>
    <w:rsid w:val="00847318"/>
    <w:rsid w:val="00847976"/>
    <w:rsid w:val="00847DEF"/>
    <w:rsid w:val="0085323C"/>
    <w:rsid w:val="00857AF2"/>
    <w:rsid w:val="0086170A"/>
    <w:rsid w:val="00862143"/>
    <w:rsid w:val="00867644"/>
    <w:rsid w:val="00872D4C"/>
    <w:rsid w:val="00873A43"/>
    <w:rsid w:val="008760AB"/>
    <w:rsid w:val="00876925"/>
    <w:rsid w:val="00876FD6"/>
    <w:rsid w:val="008811AA"/>
    <w:rsid w:val="00882BE3"/>
    <w:rsid w:val="008A0B2D"/>
    <w:rsid w:val="008A2648"/>
    <w:rsid w:val="008B08D1"/>
    <w:rsid w:val="008C1DEA"/>
    <w:rsid w:val="008C3CF1"/>
    <w:rsid w:val="008E74CD"/>
    <w:rsid w:val="008F11C5"/>
    <w:rsid w:val="008F167B"/>
    <w:rsid w:val="008F219E"/>
    <w:rsid w:val="008F4325"/>
    <w:rsid w:val="008F4D0C"/>
    <w:rsid w:val="00903FB8"/>
    <w:rsid w:val="009067FC"/>
    <w:rsid w:val="00906E5C"/>
    <w:rsid w:val="00907848"/>
    <w:rsid w:val="0091039F"/>
    <w:rsid w:val="00912CBC"/>
    <w:rsid w:val="009217B9"/>
    <w:rsid w:val="00924E26"/>
    <w:rsid w:val="00925C2A"/>
    <w:rsid w:val="009270D8"/>
    <w:rsid w:val="00933473"/>
    <w:rsid w:val="00933DE5"/>
    <w:rsid w:val="00940301"/>
    <w:rsid w:val="009437BC"/>
    <w:rsid w:val="00946D07"/>
    <w:rsid w:val="00947039"/>
    <w:rsid w:val="009549A1"/>
    <w:rsid w:val="00956613"/>
    <w:rsid w:val="00963ED8"/>
    <w:rsid w:val="00967481"/>
    <w:rsid w:val="009710C1"/>
    <w:rsid w:val="00972F31"/>
    <w:rsid w:val="00977AB3"/>
    <w:rsid w:val="00981D3E"/>
    <w:rsid w:val="009857D0"/>
    <w:rsid w:val="0098676D"/>
    <w:rsid w:val="00990D6A"/>
    <w:rsid w:val="00993DA8"/>
    <w:rsid w:val="00994A33"/>
    <w:rsid w:val="009A79CA"/>
    <w:rsid w:val="009B0BAF"/>
    <w:rsid w:val="009B7048"/>
    <w:rsid w:val="009C2861"/>
    <w:rsid w:val="009C3188"/>
    <w:rsid w:val="009C4DBF"/>
    <w:rsid w:val="009C5CA8"/>
    <w:rsid w:val="009C669F"/>
    <w:rsid w:val="009D0137"/>
    <w:rsid w:val="009D2251"/>
    <w:rsid w:val="009D2C26"/>
    <w:rsid w:val="009F5A28"/>
    <w:rsid w:val="00A035B4"/>
    <w:rsid w:val="00A044DB"/>
    <w:rsid w:val="00A062FF"/>
    <w:rsid w:val="00A0789B"/>
    <w:rsid w:val="00A136FF"/>
    <w:rsid w:val="00A15161"/>
    <w:rsid w:val="00A163C4"/>
    <w:rsid w:val="00A16728"/>
    <w:rsid w:val="00A201FA"/>
    <w:rsid w:val="00A241C9"/>
    <w:rsid w:val="00A245AB"/>
    <w:rsid w:val="00A26413"/>
    <w:rsid w:val="00A27DAB"/>
    <w:rsid w:val="00A3004D"/>
    <w:rsid w:val="00A32D5A"/>
    <w:rsid w:val="00A33AF1"/>
    <w:rsid w:val="00A34776"/>
    <w:rsid w:val="00A3516E"/>
    <w:rsid w:val="00A36AD7"/>
    <w:rsid w:val="00A409FB"/>
    <w:rsid w:val="00A44F28"/>
    <w:rsid w:val="00A45038"/>
    <w:rsid w:val="00A45470"/>
    <w:rsid w:val="00A46A5F"/>
    <w:rsid w:val="00A538DD"/>
    <w:rsid w:val="00A676DF"/>
    <w:rsid w:val="00A71111"/>
    <w:rsid w:val="00A7520C"/>
    <w:rsid w:val="00A76C82"/>
    <w:rsid w:val="00A86D31"/>
    <w:rsid w:val="00A91510"/>
    <w:rsid w:val="00A97792"/>
    <w:rsid w:val="00AA0A24"/>
    <w:rsid w:val="00AA355E"/>
    <w:rsid w:val="00AA4565"/>
    <w:rsid w:val="00AA7E7D"/>
    <w:rsid w:val="00AB1A0E"/>
    <w:rsid w:val="00AB2A08"/>
    <w:rsid w:val="00AB329B"/>
    <w:rsid w:val="00AB6382"/>
    <w:rsid w:val="00AC1189"/>
    <w:rsid w:val="00AC3DDF"/>
    <w:rsid w:val="00AD5D8E"/>
    <w:rsid w:val="00AD6B92"/>
    <w:rsid w:val="00AE124F"/>
    <w:rsid w:val="00AE40C8"/>
    <w:rsid w:val="00AE6099"/>
    <w:rsid w:val="00AE693D"/>
    <w:rsid w:val="00AF4DF4"/>
    <w:rsid w:val="00AF5CC0"/>
    <w:rsid w:val="00B01438"/>
    <w:rsid w:val="00B0405B"/>
    <w:rsid w:val="00B15997"/>
    <w:rsid w:val="00B20F2A"/>
    <w:rsid w:val="00B30E8E"/>
    <w:rsid w:val="00B31C49"/>
    <w:rsid w:val="00B31EB6"/>
    <w:rsid w:val="00B3230D"/>
    <w:rsid w:val="00B34E21"/>
    <w:rsid w:val="00B34FFF"/>
    <w:rsid w:val="00B37BF3"/>
    <w:rsid w:val="00B4031D"/>
    <w:rsid w:val="00B45F03"/>
    <w:rsid w:val="00B508AB"/>
    <w:rsid w:val="00B53F5F"/>
    <w:rsid w:val="00B56DC0"/>
    <w:rsid w:val="00B57B74"/>
    <w:rsid w:val="00B63FDE"/>
    <w:rsid w:val="00B67FA9"/>
    <w:rsid w:val="00B84295"/>
    <w:rsid w:val="00B84DF0"/>
    <w:rsid w:val="00B9019B"/>
    <w:rsid w:val="00B9350D"/>
    <w:rsid w:val="00B97DD4"/>
    <w:rsid w:val="00BA1DD8"/>
    <w:rsid w:val="00BA2E51"/>
    <w:rsid w:val="00BA7CE9"/>
    <w:rsid w:val="00BB183B"/>
    <w:rsid w:val="00BB59C0"/>
    <w:rsid w:val="00BB7FF6"/>
    <w:rsid w:val="00BC0387"/>
    <w:rsid w:val="00BC26F6"/>
    <w:rsid w:val="00BC638D"/>
    <w:rsid w:val="00BC67E6"/>
    <w:rsid w:val="00BC7972"/>
    <w:rsid w:val="00BC7E8C"/>
    <w:rsid w:val="00BD646C"/>
    <w:rsid w:val="00BD7C24"/>
    <w:rsid w:val="00BE05AB"/>
    <w:rsid w:val="00BE14E2"/>
    <w:rsid w:val="00BF1318"/>
    <w:rsid w:val="00BF187C"/>
    <w:rsid w:val="00BF27ED"/>
    <w:rsid w:val="00BF4B69"/>
    <w:rsid w:val="00BF64F0"/>
    <w:rsid w:val="00BF7A82"/>
    <w:rsid w:val="00C01452"/>
    <w:rsid w:val="00C20810"/>
    <w:rsid w:val="00C213C5"/>
    <w:rsid w:val="00C2154F"/>
    <w:rsid w:val="00C244F2"/>
    <w:rsid w:val="00C33880"/>
    <w:rsid w:val="00C34BAD"/>
    <w:rsid w:val="00C3504D"/>
    <w:rsid w:val="00C35689"/>
    <w:rsid w:val="00C514CC"/>
    <w:rsid w:val="00C52FC3"/>
    <w:rsid w:val="00C57DA2"/>
    <w:rsid w:val="00C63534"/>
    <w:rsid w:val="00C63584"/>
    <w:rsid w:val="00C6640E"/>
    <w:rsid w:val="00C66C5C"/>
    <w:rsid w:val="00C70BA6"/>
    <w:rsid w:val="00C71628"/>
    <w:rsid w:val="00C7195A"/>
    <w:rsid w:val="00C74BD5"/>
    <w:rsid w:val="00C76570"/>
    <w:rsid w:val="00C830C7"/>
    <w:rsid w:val="00C844F1"/>
    <w:rsid w:val="00C856C8"/>
    <w:rsid w:val="00C87FA1"/>
    <w:rsid w:val="00C901CB"/>
    <w:rsid w:val="00C935B3"/>
    <w:rsid w:val="00C94D55"/>
    <w:rsid w:val="00C97536"/>
    <w:rsid w:val="00CA679D"/>
    <w:rsid w:val="00CB1641"/>
    <w:rsid w:val="00CB3D7A"/>
    <w:rsid w:val="00CB68C0"/>
    <w:rsid w:val="00CC38D8"/>
    <w:rsid w:val="00CD6555"/>
    <w:rsid w:val="00CE1387"/>
    <w:rsid w:val="00CE1EAF"/>
    <w:rsid w:val="00CE57CB"/>
    <w:rsid w:val="00CE6AA2"/>
    <w:rsid w:val="00CF0B7C"/>
    <w:rsid w:val="00CF0B8D"/>
    <w:rsid w:val="00CF14C1"/>
    <w:rsid w:val="00CF1586"/>
    <w:rsid w:val="00CF19CC"/>
    <w:rsid w:val="00CF53BA"/>
    <w:rsid w:val="00D0035F"/>
    <w:rsid w:val="00D0093B"/>
    <w:rsid w:val="00D03456"/>
    <w:rsid w:val="00D03CF4"/>
    <w:rsid w:val="00D06772"/>
    <w:rsid w:val="00D07C70"/>
    <w:rsid w:val="00D1088B"/>
    <w:rsid w:val="00D1754A"/>
    <w:rsid w:val="00D1786D"/>
    <w:rsid w:val="00D2121F"/>
    <w:rsid w:val="00D22980"/>
    <w:rsid w:val="00D25233"/>
    <w:rsid w:val="00D3542E"/>
    <w:rsid w:val="00D3605D"/>
    <w:rsid w:val="00D40149"/>
    <w:rsid w:val="00D424F4"/>
    <w:rsid w:val="00D43C29"/>
    <w:rsid w:val="00D527E1"/>
    <w:rsid w:val="00D55111"/>
    <w:rsid w:val="00D56D11"/>
    <w:rsid w:val="00D602F2"/>
    <w:rsid w:val="00D604D5"/>
    <w:rsid w:val="00D62AC5"/>
    <w:rsid w:val="00D706E4"/>
    <w:rsid w:val="00D712C1"/>
    <w:rsid w:val="00D73FC3"/>
    <w:rsid w:val="00D77111"/>
    <w:rsid w:val="00D823B5"/>
    <w:rsid w:val="00D83A8F"/>
    <w:rsid w:val="00D83F8F"/>
    <w:rsid w:val="00D93C3E"/>
    <w:rsid w:val="00D9625B"/>
    <w:rsid w:val="00DA0519"/>
    <w:rsid w:val="00DA1B4C"/>
    <w:rsid w:val="00DA6314"/>
    <w:rsid w:val="00DB4F8E"/>
    <w:rsid w:val="00DC24B2"/>
    <w:rsid w:val="00DC31D7"/>
    <w:rsid w:val="00DC494C"/>
    <w:rsid w:val="00DC620E"/>
    <w:rsid w:val="00DD1E7A"/>
    <w:rsid w:val="00DE347D"/>
    <w:rsid w:val="00DE7C63"/>
    <w:rsid w:val="00DF5E97"/>
    <w:rsid w:val="00DF7ED8"/>
    <w:rsid w:val="00E01F7A"/>
    <w:rsid w:val="00E033D7"/>
    <w:rsid w:val="00E10502"/>
    <w:rsid w:val="00E124A2"/>
    <w:rsid w:val="00E12CF9"/>
    <w:rsid w:val="00E15DDA"/>
    <w:rsid w:val="00E16C59"/>
    <w:rsid w:val="00E1780B"/>
    <w:rsid w:val="00E214D4"/>
    <w:rsid w:val="00E26007"/>
    <w:rsid w:val="00E306C4"/>
    <w:rsid w:val="00E3169A"/>
    <w:rsid w:val="00E33A51"/>
    <w:rsid w:val="00E34F7B"/>
    <w:rsid w:val="00E3748B"/>
    <w:rsid w:val="00E37F58"/>
    <w:rsid w:val="00E44769"/>
    <w:rsid w:val="00E52062"/>
    <w:rsid w:val="00E527AA"/>
    <w:rsid w:val="00E53918"/>
    <w:rsid w:val="00E60E15"/>
    <w:rsid w:val="00E62E64"/>
    <w:rsid w:val="00E63073"/>
    <w:rsid w:val="00E640FC"/>
    <w:rsid w:val="00E64C2D"/>
    <w:rsid w:val="00E64DC3"/>
    <w:rsid w:val="00E6675C"/>
    <w:rsid w:val="00E7052C"/>
    <w:rsid w:val="00E747C1"/>
    <w:rsid w:val="00E77E9C"/>
    <w:rsid w:val="00E85DF7"/>
    <w:rsid w:val="00E903ED"/>
    <w:rsid w:val="00E953F0"/>
    <w:rsid w:val="00EA15DF"/>
    <w:rsid w:val="00EC1102"/>
    <w:rsid w:val="00EC4E81"/>
    <w:rsid w:val="00EC61C6"/>
    <w:rsid w:val="00ED4EB7"/>
    <w:rsid w:val="00ED4EB8"/>
    <w:rsid w:val="00ED5F99"/>
    <w:rsid w:val="00EE29A0"/>
    <w:rsid w:val="00EE5D3D"/>
    <w:rsid w:val="00EE6176"/>
    <w:rsid w:val="00EE62DE"/>
    <w:rsid w:val="00EE637B"/>
    <w:rsid w:val="00EF47C4"/>
    <w:rsid w:val="00EF61EE"/>
    <w:rsid w:val="00F05830"/>
    <w:rsid w:val="00F05C3C"/>
    <w:rsid w:val="00F173A9"/>
    <w:rsid w:val="00F26568"/>
    <w:rsid w:val="00F278CA"/>
    <w:rsid w:val="00F3024D"/>
    <w:rsid w:val="00F33210"/>
    <w:rsid w:val="00F334C2"/>
    <w:rsid w:val="00F40FE4"/>
    <w:rsid w:val="00F441ED"/>
    <w:rsid w:val="00F45296"/>
    <w:rsid w:val="00F5306F"/>
    <w:rsid w:val="00F53E82"/>
    <w:rsid w:val="00F60CCD"/>
    <w:rsid w:val="00F61B2D"/>
    <w:rsid w:val="00F6290D"/>
    <w:rsid w:val="00F66017"/>
    <w:rsid w:val="00F70D42"/>
    <w:rsid w:val="00F743A2"/>
    <w:rsid w:val="00F8101E"/>
    <w:rsid w:val="00F81197"/>
    <w:rsid w:val="00F81657"/>
    <w:rsid w:val="00F860FD"/>
    <w:rsid w:val="00F871D6"/>
    <w:rsid w:val="00F90CEB"/>
    <w:rsid w:val="00F923DC"/>
    <w:rsid w:val="00F928E4"/>
    <w:rsid w:val="00F95A90"/>
    <w:rsid w:val="00FA2881"/>
    <w:rsid w:val="00FA37BB"/>
    <w:rsid w:val="00FA6EA3"/>
    <w:rsid w:val="00FB09DE"/>
    <w:rsid w:val="00FB1540"/>
    <w:rsid w:val="00FC0240"/>
    <w:rsid w:val="00FC27FB"/>
    <w:rsid w:val="00FD15A6"/>
    <w:rsid w:val="00FD209E"/>
    <w:rsid w:val="00FD3FC7"/>
    <w:rsid w:val="00FD572A"/>
    <w:rsid w:val="00FE01E3"/>
    <w:rsid w:val="00FE1C40"/>
    <w:rsid w:val="00FE1C67"/>
    <w:rsid w:val="00FE47AA"/>
    <w:rsid w:val="00FE53E5"/>
    <w:rsid w:val="00FE6E6F"/>
    <w:rsid w:val="00FF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C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75118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FC3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0F4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456A"/>
    <w:rPr>
      <w:rFonts w:ascii="Segoe UI" w:hAnsi="Segoe UI" w:cs="Segoe UI"/>
      <w:sz w:val="18"/>
      <w:szCs w:val="18"/>
      <w:lang w:eastAsia="hu-HU"/>
    </w:rPr>
  </w:style>
  <w:style w:type="paragraph" w:styleId="TOC2">
    <w:name w:val="toc 2"/>
    <w:basedOn w:val="Normal"/>
    <w:next w:val="Normal"/>
    <w:autoRedefine/>
    <w:uiPriority w:val="99"/>
    <w:rsid w:val="00246F89"/>
    <w:pPr>
      <w:tabs>
        <w:tab w:val="right" w:leader="dot" w:pos="8494"/>
      </w:tabs>
      <w:spacing w:line="276" w:lineRule="auto"/>
      <w:ind w:left="220"/>
    </w:pPr>
    <w:rPr>
      <w:rFonts w:eastAsia="ヒラギノ角ゴ Pro W3"/>
      <w:bCs/>
      <w:noProof/>
      <w:color w:val="0D0D0D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99"/>
    <w:rsid w:val="0028660C"/>
    <w:pPr>
      <w:spacing w:line="276" w:lineRule="auto"/>
      <w:ind w:left="440"/>
    </w:pPr>
    <w:rPr>
      <w:rFonts w:ascii="Calibri" w:eastAsia="ヒラギノ角ゴ Pro W3" w:hAnsi="Calibri"/>
      <w:color w:val="000000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rsid w:val="007E3A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3A7A"/>
    <w:rPr>
      <w:rFonts w:ascii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rsid w:val="007E3A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3A7A"/>
    <w:rPr>
      <w:rFonts w:ascii="Times New Roman" w:hAnsi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99"/>
    <w:qFormat/>
    <w:rsid w:val="003F0A33"/>
    <w:pPr>
      <w:spacing w:after="200" w:line="276" w:lineRule="auto"/>
      <w:ind w:left="720"/>
      <w:contextualSpacing/>
    </w:pPr>
    <w:rPr>
      <w:rFonts w:ascii="Calibri" w:eastAsia="ヒラギノ角ゴ Pro W3" w:hAnsi="Calibri"/>
      <w:color w:val="000000"/>
      <w:sz w:val="22"/>
      <w:lang w:val="en-GB" w:eastAsia="en-US"/>
    </w:rPr>
  </w:style>
  <w:style w:type="character" w:styleId="Hyperlink">
    <w:name w:val="Hyperlink"/>
    <w:basedOn w:val="DefaultParagraphFont"/>
    <w:uiPriority w:val="99"/>
    <w:rsid w:val="00077DC7"/>
    <w:rPr>
      <w:rFonts w:cs="Times New Roman"/>
      <w:color w:val="0000FF"/>
      <w:u w:val="single"/>
    </w:rPr>
  </w:style>
  <w:style w:type="character" w:customStyle="1" w:styleId="highlight">
    <w:name w:val="highlight"/>
    <w:basedOn w:val="DefaultParagraphFont"/>
    <w:uiPriority w:val="99"/>
    <w:rsid w:val="00751187"/>
    <w:rPr>
      <w:rFonts w:cs="Times New Roman"/>
    </w:rPr>
  </w:style>
  <w:style w:type="character" w:customStyle="1" w:styleId="referencesrightcell">
    <w:name w:val="referencesrightcell"/>
    <w:basedOn w:val="DefaultParagraphFont"/>
    <w:uiPriority w:val="99"/>
    <w:rsid w:val="00F928E4"/>
    <w:rPr>
      <w:rFonts w:cs="Times New Roman"/>
    </w:rPr>
  </w:style>
  <w:style w:type="character" w:customStyle="1" w:styleId="refseriestitle">
    <w:name w:val="refseriestitle"/>
    <w:basedOn w:val="DefaultParagraphFont"/>
    <w:uiPriority w:val="99"/>
    <w:rsid w:val="00F928E4"/>
    <w:rPr>
      <w:rFonts w:cs="Times New Roman"/>
    </w:rPr>
  </w:style>
  <w:style w:type="character" w:customStyle="1" w:styleId="refseriesdate">
    <w:name w:val="refseriesdate"/>
    <w:basedOn w:val="DefaultParagraphFont"/>
    <w:uiPriority w:val="99"/>
    <w:rsid w:val="00F928E4"/>
    <w:rPr>
      <w:rFonts w:cs="Times New Roman"/>
    </w:rPr>
  </w:style>
  <w:style w:type="character" w:customStyle="1" w:styleId="refseriesvolume">
    <w:name w:val="refseriesvolume"/>
    <w:basedOn w:val="DefaultParagraphFont"/>
    <w:uiPriority w:val="99"/>
    <w:rsid w:val="00F928E4"/>
    <w:rPr>
      <w:rFonts w:cs="Times New Roman"/>
    </w:rPr>
  </w:style>
  <w:style w:type="character" w:customStyle="1" w:styleId="refpages">
    <w:name w:val="refpages"/>
    <w:basedOn w:val="DefaultParagraphFont"/>
    <w:uiPriority w:val="99"/>
    <w:rsid w:val="00F928E4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835DD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6529C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0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8924102" TargetMode="External"/><Relationship Id="rId13" Type="http://schemas.openxmlformats.org/officeDocument/2006/relationships/hyperlink" Target="https://www.ncbi.nlm.nih.gov/pubmed/?term=Hunyady%20L%5BAuthor%5D&amp;cauthor=true&amp;cauthor_uid=22613783" TargetMode="External"/><Relationship Id="rId18" Type="http://schemas.openxmlformats.org/officeDocument/2006/relationships/hyperlink" Target="https://www.ncbi.nlm.nih.gov/pubmed/?term=Martin%20OA%5BAuthor%5D&amp;cauthor=true&amp;cauthor_uid=282796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ubmed/?term=Fernandez-Ranvier%20GG%5BAuthor%5D&amp;cauthor=true&amp;cauthor_uid=18324346" TargetMode="External"/><Relationship Id="rId7" Type="http://schemas.openxmlformats.org/officeDocument/2006/relationships/hyperlink" Target="https://www.ncbi.nlm.nih.gov/pubmed/?term=Xu%20R%5BAuthor%5D&amp;cauthor=true&amp;cauthor_uid=28924102" TargetMode="External"/><Relationship Id="rId12" Type="http://schemas.openxmlformats.org/officeDocument/2006/relationships/hyperlink" Target="https://www.ncbi.nlm.nih.gov/pubmed/?term=R%C3%A1cz%20K%5BAuthor%5D&amp;cauthor=true&amp;cauthor_uid=22613783" TargetMode="External"/><Relationship Id="rId17" Type="http://schemas.openxmlformats.org/officeDocument/2006/relationships/hyperlink" Target="https://www.ncbi.nlm.nih.gov/pubmed/?term=Georgakilas%20AG%5BAuthor%5D&amp;cauthor=true&amp;cauthor_uid=282796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ortega+and+CDK2+and+nature+genetics" TargetMode="External"/><Relationship Id="rId20" Type="http://schemas.openxmlformats.org/officeDocument/2006/relationships/hyperlink" Target="https://www.ncbi.nlm.nih.gov/pubmed/2827962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?term=Butz%20H%5BAuthor%5D&amp;cauthor=true&amp;cauthor_uid=2261378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ubmed/?term=butz+H+and+trend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cbi.nlm.nih.gov/pubmed/28727371" TargetMode="External"/><Relationship Id="rId19" Type="http://schemas.openxmlformats.org/officeDocument/2006/relationships/hyperlink" Target="https://www.ncbi.nlm.nih.gov/pubmed/?term=Bonner%20WM%5BAuthor%5D&amp;cauthor=true&amp;cauthor_uid=282796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Yang%20ZG%5BAuthor%5D&amp;cauthor=true&amp;cauthor_uid=28727371" TargetMode="External"/><Relationship Id="rId14" Type="http://schemas.openxmlformats.org/officeDocument/2006/relationships/hyperlink" Target="https://www.ncbi.nlm.nih.gov/pubmed/?term=Pat%C3%B3cs%20A%5BAuthor%5D&amp;cauthor=true&amp;cauthor_uid=22613783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367</TotalTime>
  <Pages>5</Pages>
  <Words>2531</Words>
  <Characters>17466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Válasz dr</dc:title>
  <dc:subject/>
  <dc:creator>krenacs</dc:creator>
  <cp:keywords/>
  <dc:description/>
  <cp:lastModifiedBy>patatt</cp:lastModifiedBy>
  <cp:revision>14</cp:revision>
  <cp:lastPrinted>2018-04-27T05:49:00Z</cp:lastPrinted>
  <dcterms:created xsi:type="dcterms:W3CDTF">2018-04-23T14:39:00Z</dcterms:created>
  <dcterms:modified xsi:type="dcterms:W3CDTF">2018-04-27T06:00:00Z</dcterms:modified>
</cp:coreProperties>
</file>