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EE74" w14:textId="77777777" w:rsidR="00495C1D" w:rsidRPr="003A0A0F" w:rsidRDefault="00495C1D" w:rsidP="00495C1D">
      <w:pPr>
        <w:spacing w:line="31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Válaszok Dr. Janka Zoltán kérdéseire</w:t>
      </w:r>
      <w:r w:rsidRPr="003A0A0F">
        <w:rPr>
          <w:b/>
          <w:bCs/>
          <w:sz w:val="28"/>
          <w:szCs w:val="28"/>
        </w:rPr>
        <w:t>:</w:t>
      </w:r>
    </w:p>
    <w:p w14:paraId="2A01ACF6" w14:textId="77777777" w:rsidR="00495C1D" w:rsidRDefault="00495C1D" w:rsidP="00495C1D">
      <w:pPr>
        <w:spacing w:line="312" w:lineRule="auto"/>
      </w:pPr>
    </w:p>
    <w:p w14:paraId="1D552486" w14:textId="77777777" w:rsidR="00495C1D" w:rsidRDefault="00495C1D" w:rsidP="00495C1D">
      <w:pPr>
        <w:spacing w:line="312" w:lineRule="auto"/>
      </w:pPr>
      <w:r>
        <w:t>Köszönöm a Tisztelt Bíráló értekezésem elbírálására fordított idejét és energiáját. Kérdéseire és felvetéseire – azok feltételének sorrendjében</w:t>
      </w:r>
      <w:r w:rsidRPr="008645E1">
        <w:t xml:space="preserve"> </w:t>
      </w:r>
      <w:r>
        <w:t>– a következő válaszokat adom:</w:t>
      </w:r>
    </w:p>
    <w:p w14:paraId="6666E346" w14:textId="77777777" w:rsidR="00495C1D" w:rsidRPr="00401BE7" w:rsidRDefault="00495C1D" w:rsidP="00495C1D">
      <w:pPr>
        <w:spacing w:line="312" w:lineRule="auto"/>
      </w:pPr>
    </w:p>
    <w:p w14:paraId="1429CFEC" w14:textId="77777777" w:rsidR="00495C1D" w:rsidRPr="001D7244" w:rsidRDefault="00495C1D" w:rsidP="00495C1D">
      <w:pPr>
        <w:spacing w:line="312" w:lineRule="auto"/>
      </w:pPr>
      <w:r w:rsidRPr="009A2879">
        <w:rPr>
          <w:b/>
          <w:bCs/>
        </w:rPr>
        <w:t>1. kérdés:</w:t>
      </w:r>
      <w:r w:rsidRPr="001D7244">
        <w:t xml:space="preserve"> Már ennél a fejezetnél (Bevezetés) föltenném a kérdést, rögtön az 1. ábránál, hogy milyen megfontolásból választotta a jelölt az ábrák esetében azt a megoldást – ami következetesen végigvonul az egész dolgozaton –, hogy az ábramagyarázat a kép vagy diagram fölé kerül és nem alá? A nemzetközi és hazai közleményeknél az a szokás, hogy a táblázatoknak címe van, az ábráknak aláírása (esetenként a táblázatoknak is van aláírása).</w:t>
      </w:r>
    </w:p>
    <w:p w14:paraId="231A3BE5" w14:textId="77777777" w:rsidR="00495C1D" w:rsidRDefault="00495C1D" w:rsidP="00495C1D">
      <w:pPr>
        <w:spacing w:line="312" w:lineRule="auto"/>
      </w:pPr>
    </w:p>
    <w:p w14:paraId="40788BA5" w14:textId="77777777" w:rsidR="00495C1D" w:rsidRPr="001D7244" w:rsidRDefault="00495C1D" w:rsidP="00495C1D">
      <w:pPr>
        <w:spacing w:line="312" w:lineRule="auto"/>
        <w:rPr>
          <w:b/>
          <w:bCs/>
        </w:rPr>
      </w:pPr>
      <w:r w:rsidRPr="001D7244">
        <w:rPr>
          <w:b/>
          <w:bCs/>
        </w:rPr>
        <w:t>Válasz:</w:t>
      </w:r>
    </w:p>
    <w:p w14:paraId="6B920F68" w14:textId="77777777" w:rsidR="00495C1D" w:rsidRDefault="00495C1D" w:rsidP="00495C1D">
      <w:pPr>
        <w:spacing w:line="312" w:lineRule="auto"/>
      </w:pPr>
      <w:r w:rsidRPr="009A2879">
        <w:t xml:space="preserve">Talán azzal tudom </w:t>
      </w:r>
      <w:r>
        <w:t xml:space="preserve">az elrendezést </w:t>
      </w:r>
      <w:r w:rsidRPr="009A2879">
        <w:t>magyarázni, ahogy az ábrákh</w:t>
      </w:r>
      <w:r>
        <w:t>o</w:t>
      </w:r>
      <w:r w:rsidRPr="009A2879">
        <w:t xml:space="preserve">z viszonyulok. Először elolvasom a címét, majd a feliratot, </w:t>
      </w:r>
      <w:r>
        <w:t>majd ezek</w:t>
      </w:r>
      <w:r w:rsidRPr="009A2879">
        <w:t xml:space="preserve"> alapján értelmezem az ábrán látható információt.</w:t>
      </w:r>
    </w:p>
    <w:p w14:paraId="5D65FA25" w14:textId="77777777" w:rsidR="00495C1D" w:rsidRPr="009A2879" w:rsidRDefault="00495C1D" w:rsidP="00495C1D">
      <w:pPr>
        <w:spacing w:line="312" w:lineRule="auto"/>
      </w:pPr>
    </w:p>
    <w:p w14:paraId="2C3A56E7" w14:textId="77777777" w:rsidR="00495C1D" w:rsidRDefault="00495C1D" w:rsidP="00495C1D">
      <w:pPr>
        <w:spacing w:line="312" w:lineRule="auto"/>
      </w:pPr>
      <w:r w:rsidRPr="009A2879">
        <w:rPr>
          <w:b/>
          <w:bCs/>
        </w:rPr>
        <w:t>2. kérdés:</w:t>
      </w:r>
      <w:r w:rsidRPr="001D7244">
        <w:t xml:space="preserve"> </w:t>
      </w:r>
      <w:r w:rsidRPr="00896544">
        <w:t>Később a megbeszélés részben a jelölt utal arra, hogy a stroke kimenetelének kedvezőbbé tételében új terápiás beavatkozások kidolgozását is eredményezhetné, amennyiben az ischaemiás prekondicionálás hátterében lévő celluláris és molekuláris folyamatokat megismernénk. Mit lehet ezekről az élettani mechanizmusokról pontosabban tudni?</w:t>
      </w:r>
    </w:p>
    <w:p w14:paraId="5524A040" w14:textId="77777777" w:rsidR="00495C1D" w:rsidRPr="00896544" w:rsidRDefault="00495C1D" w:rsidP="00495C1D">
      <w:pPr>
        <w:spacing w:line="312" w:lineRule="auto"/>
      </w:pPr>
    </w:p>
    <w:p w14:paraId="7924AA43" w14:textId="77777777" w:rsidR="00495C1D" w:rsidRPr="001D7244" w:rsidRDefault="00495C1D" w:rsidP="00495C1D">
      <w:pPr>
        <w:spacing w:line="312" w:lineRule="auto"/>
        <w:rPr>
          <w:b/>
          <w:bCs/>
        </w:rPr>
      </w:pPr>
      <w:r w:rsidRPr="001D7244">
        <w:rPr>
          <w:b/>
          <w:bCs/>
        </w:rPr>
        <w:t>Válasz:</w:t>
      </w:r>
    </w:p>
    <w:p w14:paraId="0EA4C594" w14:textId="77777777" w:rsidR="00495C1D" w:rsidRPr="009A2879" w:rsidRDefault="00495C1D" w:rsidP="00495C1D">
      <w:pPr>
        <w:spacing w:line="312" w:lineRule="auto"/>
      </w:pPr>
      <w:r w:rsidRPr="009A2879">
        <w:t xml:space="preserve">Az ischemiás prekondicionálás hatására több celluláris és molekuláris folyamat módosul. Hypoxia hatására fokozódik a hypoxia indukált faktor-1α (HIF-1α) expressziója, </w:t>
      </w:r>
      <w:r>
        <w:t>ami</w:t>
      </w:r>
      <w:r w:rsidRPr="009A2879">
        <w:t xml:space="preserve"> további</w:t>
      </w:r>
      <w:r>
        <w:t>, az</w:t>
      </w:r>
      <w:r w:rsidRPr="009A2879">
        <w:t xml:space="preserve"> ischemiás tolerancia szempontjából fontos gén</w:t>
      </w:r>
      <w:r>
        <w:t>ek</w:t>
      </w:r>
      <w:r w:rsidRPr="009A2879">
        <w:t xml:space="preserve"> expressziójához vezet (Giusti és mtsai 2012). A glutamát által kiváltott excitotoxicitás az stroke-ot követő idegsejtkárosodás egyik fő </w:t>
      </w:r>
      <w:r>
        <w:t>oka</w:t>
      </w:r>
      <w:r w:rsidRPr="009A2879">
        <w:t>. Ischemia hatására jelentősen csökken az oxigenizáció, ami az ATP</w:t>
      </w:r>
      <w:r>
        <w:t>-</w:t>
      </w:r>
      <w:r w:rsidRPr="009A2879">
        <w:t>szint csökkenéséhez és a glutamát</w:t>
      </w:r>
      <w:r>
        <w:t>-</w:t>
      </w:r>
      <w:r w:rsidRPr="009A2879">
        <w:t>szint emelkedéséhez vehet</w:t>
      </w:r>
      <w:r>
        <w:t>. Ez</w:t>
      </w:r>
      <w:r w:rsidRPr="009A2879">
        <w:t xml:space="preserve"> az N-metil-D-aszpartát (NMDA) receptor aktiválásával fokozott kálcium beáramláshoz, glutamát felszaporodásához és a szinaptikus plaszticitás károsodásához vezet. Az NMDA receptorok mérsékelt aktiválása ischemiás tolerancia kialakulását eredményezi az NF-κB és a tumor nekrózis faktor-α (TNF-α) útvonalakon keresztül. Kimutatták továbbá, hogy az NMDA receptor aktiválása gátolhatja a stressz által aktivált c-Jun N-terminális kináz (JNK) és a protein kináz B (Akt) aktiválódását, elősegítheti az extracelluláris jelszabályozott kináz (ERK1/2) aktiválódását és befolyásolhatja a ciklikus adenozin-monofoszfát (cAMP) reagáló elem kötődésének (CREB) aktivitását (Soriano és mtsai 2006)</w:t>
      </w:r>
      <w:r>
        <w:t>.</w:t>
      </w:r>
      <w:r w:rsidRPr="009A2879">
        <w:t xml:space="preserve"> További tanulmányok szerint az ischemiás tolerancia kialakulásában </w:t>
      </w:r>
      <w:r w:rsidRPr="009A2879">
        <w:lastRenderedPageBreak/>
        <w:t>szerepet játszhat az asztrocyták</w:t>
      </w:r>
      <w:r>
        <w:t>ban</w:t>
      </w:r>
      <w:r w:rsidRPr="009A2879">
        <w:t xml:space="preserve"> a glutamát transzporter-1 upregulációja, mely</w:t>
      </w:r>
      <w:r>
        <w:t>nek</w:t>
      </w:r>
      <w:r w:rsidRPr="009A2879">
        <w:t xml:space="preserve"> hátterében a p38 mitogén-aktivált protein kináz (p38 MAPK) </w:t>
      </w:r>
      <w:r w:rsidRPr="00265030">
        <w:t>áll (Zhang és mtsai 2017).</w:t>
      </w:r>
      <w:r w:rsidRPr="009A2879">
        <w:t xml:space="preserve"> </w:t>
      </w:r>
    </w:p>
    <w:p w14:paraId="623C6E58" w14:textId="77777777" w:rsidR="00495C1D" w:rsidRPr="009A2879" w:rsidRDefault="00495C1D" w:rsidP="00495C1D">
      <w:pPr>
        <w:spacing w:line="312" w:lineRule="auto"/>
      </w:pPr>
      <w:r w:rsidRPr="009A2879">
        <w:t>Preklinikai vizsgálatok felvetették a nitrogén-monoxid szintáz lehetséges szerepét is (Scorziello és mtsai 2007). Leírták továbbá az immunrendszer neuroprotektív szerepét elsősorban gyulladáscsökkentő mediátorok termelése, illetve gyulladáskeltő útvonalak gátlása által. Ennek hátterében a felvetették a TLR4/NF-κB jelátvitel gátlását, illetve az interferon-szabályozási faktor függő szignalizáció fokozását. Ischemi</w:t>
      </w:r>
      <w:r>
        <w:t>ás</w:t>
      </w:r>
      <w:r w:rsidRPr="009A2879">
        <w:t xml:space="preserve"> prekondicionálás hatására fokozódik a neuroprotektív chemokinek felszabadulása</w:t>
      </w:r>
      <w:r>
        <w:t xml:space="preserve"> is</w:t>
      </w:r>
      <w:r w:rsidRPr="009A2879">
        <w:t xml:space="preserve"> a mikrogliából (Hao és mtsai 2020). </w:t>
      </w:r>
    </w:p>
    <w:p w14:paraId="43620CEC" w14:textId="77777777" w:rsidR="00495C1D" w:rsidRPr="009A2879" w:rsidRDefault="00495C1D" w:rsidP="00495C1D">
      <w:pPr>
        <w:spacing w:line="312" w:lineRule="auto"/>
      </w:pPr>
      <w:r w:rsidRPr="009A2879">
        <w:t>Ischemi</w:t>
      </w:r>
      <w:r>
        <w:t>ás</w:t>
      </w:r>
      <w:r w:rsidRPr="009A2879">
        <w:t xml:space="preserve"> prekondicionálás során számos fehérje, enzim és receptor aktiválódik, többek között protein-kinázok (például PKC, MAPK), a Na</w:t>
      </w:r>
      <w:r w:rsidRPr="009A2879">
        <w:rPr>
          <w:vertAlign w:val="superscript"/>
        </w:rPr>
        <w:t>+</w:t>
      </w:r>
      <w:r w:rsidRPr="009A2879">
        <w:t>-Ca</w:t>
      </w:r>
      <w:r w:rsidRPr="009A2879">
        <w:rPr>
          <w:vertAlign w:val="superscript"/>
        </w:rPr>
        <w:t>2+</w:t>
      </w:r>
      <w:r w:rsidRPr="009A2879">
        <w:t xml:space="preserve"> pumpa és különböző sejtfelszíni receptorok (p</w:t>
      </w:r>
      <w:r>
        <w:t>l.</w:t>
      </w:r>
      <w:r w:rsidRPr="009A2879">
        <w:t xml:space="preserve"> adenozin receptorok), amelyek kulcsfontosságúak a védő válasz közvetítésében. A neuroprotektív hatás szempontjából fontos az autofágiás folyamatok aktiválódása (Carloni és mtsai 2008) </w:t>
      </w:r>
      <w:r>
        <w:t>és</w:t>
      </w:r>
      <w:r w:rsidRPr="009A2879">
        <w:t xml:space="preserve"> az apoptózis gátlása, ugyanis cerebralis ischemia hatására fokozódik a caspase-3 expressziója, melyet az ischemiás prekondicionálás mérsékel (Xia és mtsai 2013). Ez segít a károsodott sejtalkotók eltávolításában és a sejtek túlélésében az ischaemiás stressz alatt. </w:t>
      </w:r>
    </w:p>
    <w:p w14:paraId="2396833E" w14:textId="77777777" w:rsidR="00495C1D" w:rsidRPr="009A2879" w:rsidRDefault="00495C1D" w:rsidP="00495C1D">
      <w:pPr>
        <w:spacing w:line="312" w:lineRule="auto"/>
      </w:pPr>
      <w:r w:rsidRPr="00C51E3B">
        <w:t>Megjegyzendő továbbá, hogy az ischaemiás epizód energiahiányt és az ion-homeosztázis</w:t>
      </w:r>
      <w:r w:rsidRPr="009A2879">
        <w:t xml:space="preserve"> zavart okoz. Ischaemiában a glükóz</w:t>
      </w:r>
      <w:r>
        <w:t>-</w:t>
      </w:r>
      <w:r w:rsidRPr="009A2879">
        <w:t xml:space="preserve"> és az oxigén</w:t>
      </w:r>
      <w:r>
        <w:t>-ellátás</w:t>
      </w:r>
      <w:r w:rsidRPr="009A2879">
        <w:t xml:space="preserve"> károsodásával az agy anyagcseréj</w:t>
      </w:r>
      <w:r>
        <w:t>e</w:t>
      </w:r>
      <w:r w:rsidRPr="009A2879">
        <w:t xml:space="preserve"> az oxidatív foszforilációról a glikolízis irányába tolódik el</w:t>
      </w:r>
      <w:r>
        <w:t>, ami</w:t>
      </w:r>
      <w:r w:rsidRPr="009A2879">
        <w:t xml:space="preserve"> elősegít</w:t>
      </w:r>
      <w:r>
        <w:t>i</w:t>
      </w:r>
      <w:r w:rsidRPr="009A2879">
        <w:t xml:space="preserve"> a gyors ATP</w:t>
      </w:r>
      <w:r>
        <w:t>-</w:t>
      </w:r>
      <w:r w:rsidRPr="009A2879">
        <w:t>termelé</w:t>
      </w:r>
      <w:r>
        <w:t>s</w:t>
      </w:r>
      <w:r w:rsidRPr="009A2879">
        <w:t>t az energia</w:t>
      </w:r>
      <w:r>
        <w:t>igény</w:t>
      </w:r>
      <w:r w:rsidRPr="009A2879">
        <w:t xml:space="preserve"> fedezésére (Suh és mtsai 2007). A fokozott glikolízis azonban tejsav és reaktív oxigén</w:t>
      </w:r>
      <w:r>
        <w:t>-</w:t>
      </w:r>
      <w:r w:rsidRPr="009A2879">
        <w:t xml:space="preserve">gyök </w:t>
      </w:r>
      <w:r>
        <w:t>felhalmozódáshoz</w:t>
      </w:r>
      <w:r w:rsidRPr="009A2879">
        <w:t xml:space="preserve"> vezet, ami elősegíti az ischaemiás penumbra terjeszkedését (Parsons és mtsai 2003). Ischemiás prekondicionálás hatására mérséklődik az ischaemia </w:t>
      </w:r>
      <w:r>
        <w:t>okozta</w:t>
      </w:r>
      <w:r w:rsidRPr="009A2879">
        <w:t xml:space="preserve"> glikolízis</w:t>
      </w:r>
      <w:r>
        <w:t xml:space="preserve"> és nő</w:t>
      </w:r>
      <w:r w:rsidRPr="009A2879">
        <w:t xml:space="preserve"> a ketontestek felhasználása (Geng és mtsai 2018). Összegezve</w:t>
      </w:r>
      <w:r>
        <w:t>:</w:t>
      </w:r>
      <w:r w:rsidRPr="009A2879">
        <w:t xml:space="preserve"> az ischemiás prekondicionálás segít az agynak felkészülni a</w:t>
      </w:r>
      <w:r>
        <w:t>z ischemia jelentette</w:t>
      </w:r>
      <w:r w:rsidRPr="009A2879">
        <w:t xml:space="preserve"> metabolikus stresszre, </w:t>
      </w:r>
      <w:r>
        <w:t xml:space="preserve">mivel </w:t>
      </w:r>
      <w:r w:rsidRPr="009A2879">
        <w:t>javít</w:t>
      </w:r>
      <w:r>
        <w:t>ja</w:t>
      </w:r>
      <w:r w:rsidRPr="009A2879">
        <w:t xml:space="preserve"> a sejtek ellenállóképességét a tápanyag- és oxigénmegvonással szemben.</w:t>
      </w:r>
    </w:p>
    <w:p w14:paraId="60359C44" w14:textId="77777777" w:rsidR="00495C1D" w:rsidRPr="009A2879" w:rsidRDefault="00495C1D" w:rsidP="00495C1D">
      <w:pPr>
        <w:spacing w:line="312" w:lineRule="auto"/>
      </w:pPr>
      <w:r w:rsidRPr="009A2879">
        <w:t>Az ischemi</w:t>
      </w:r>
      <w:r>
        <w:t>ás</w:t>
      </w:r>
      <w:r w:rsidRPr="009A2879">
        <w:t xml:space="preserve"> prekondicionál</w:t>
      </w:r>
      <w:r>
        <w:t>ás</w:t>
      </w:r>
      <w:r w:rsidRPr="009A2879">
        <w:t xml:space="preserve"> kiterjed a vér-agy gát védelmére is</w:t>
      </w:r>
      <w:r>
        <w:t xml:space="preserve"> azáltal, hogy</w:t>
      </w:r>
      <w:r w:rsidRPr="009A2879">
        <w:t xml:space="preserve"> mérsék</w:t>
      </w:r>
      <w:r>
        <w:t>l</w:t>
      </w:r>
      <w:r w:rsidRPr="009A2879">
        <w:t xml:space="preserve">i a vér-agy gát permeabilitásának ischaemia </w:t>
      </w:r>
      <w:r>
        <w:t>okozta</w:t>
      </w:r>
      <w:r w:rsidRPr="009A2879">
        <w:t xml:space="preserve"> fokozódását, </w:t>
      </w:r>
      <w:r>
        <w:t>mivel</w:t>
      </w:r>
      <w:r w:rsidRPr="009A2879">
        <w:t xml:space="preserve"> </w:t>
      </w:r>
      <w:r>
        <w:t>növeli</w:t>
      </w:r>
      <w:r w:rsidRPr="009A2879">
        <w:t xml:space="preserve"> a claudin 5 és cadherin 5 expressziój</w:t>
      </w:r>
      <w:r>
        <w:t>át</w:t>
      </w:r>
      <w:r w:rsidRPr="009A2879">
        <w:t xml:space="preserve"> (Zhang és mtsai 2006). Ez a hatás csökkenti az ödémaképződést és a gyulladásos sejtek bejutását </w:t>
      </w:r>
      <w:r>
        <w:t xml:space="preserve">is </w:t>
      </w:r>
      <w:r w:rsidRPr="009A2879">
        <w:t>az agyszövetbe a reperfúzió során.</w:t>
      </w:r>
    </w:p>
    <w:p w14:paraId="03B8C622" w14:textId="77777777" w:rsidR="00495C1D" w:rsidRPr="009A2879" w:rsidRDefault="00495C1D" w:rsidP="00495C1D">
      <w:pPr>
        <w:spacing w:line="312" w:lineRule="auto"/>
      </w:pPr>
      <w:r w:rsidRPr="009A2879">
        <w:t xml:space="preserve">Végezetül </w:t>
      </w:r>
      <w:r>
        <w:t xml:space="preserve">érdemes </w:t>
      </w:r>
      <w:r w:rsidRPr="009A2879">
        <w:t xml:space="preserve">megemlíteni az ischemiás prekondicionálás mechanizmusai között a génszintű </w:t>
      </w:r>
      <w:r>
        <w:t>(</w:t>
      </w:r>
      <w:r w:rsidRPr="009A2879">
        <w:t>transzkripciós</w:t>
      </w:r>
      <w:r>
        <w:t>)</w:t>
      </w:r>
      <w:r w:rsidRPr="009A2879">
        <w:t xml:space="preserve"> módosulásokat. A h</w:t>
      </w:r>
      <w:r>
        <w:t>y</w:t>
      </w:r>
      <w:r w:rsidRPr="009A2879">
        <w:t xml:space="preserve">poxia során felszabaduló HIF-1 hatására számos, a sejtek túlélése szempontjából fontos gén </w:t>
      </w:r>
      <w:r>
        <w:t>átírása</w:t>
      </w:r>
      <w:r w:rsidRPr="009A2879">
        <w:t xml:space="preserve"> indul el, többek között a VEGF, eritropoetin és egyes glükóz transzportereké (Bernaudin és mtsai, 2008). Megjegyzendő továbbá, hogy ischemiás prekondicionálás hatására nem csak egyes gének upregulációja történhet meg, hanem az ischemia talaján aktiválódó degeneratív útvonalak génjei</w:t>
      </w:r>
      <w:r>
        <w:t xml:space="preserve"> is</w:t>
      </w:r>
      <w:r w:rsidRPr="009A2879">
        <w:t xml:space="preserve"> gátl</w:t>
      </w:r>
      <w:r>
        <w:t>ódna</w:t>
      </w:r>
      <w:r w:rsidRPr="009A2879">
        <w:t xml:space="preserve">k (Stenzel-Poore és mtsai 2003), </w:t>
      </w:r>
      <w:r>
        <w:t>továbbá</w:t>
      </w:r>
      <w:r w:rsidRPr="009A2879">
        <w:t xml:space="preserve"> a neuronok epigenetikai </w:t>
      </w:r>
      <w:r>
        <w:t xml:space="preserve">szinten is </w:t>
      </w:r>
      <w:r w:rsidRPr="009A2879">
        <w:t>újraprogramoz</w:t>
      </w:r>
      <w:r>
        <w:t>ódnak,</w:t>
      </w:r>
      <w:r w:rsidRPr="009A2879">
        <w:t xml:space="preserve"> melyben a microRNS-ek játszanak fontos szerepet (Centeno és mtsai 1990).</w:t>
      </w:r>
    </w:p>
    <w:p w14:paraId="6295A944" w14:textId="77777777" w:rsidR="00495C1D" w:rsidRPr="009A2879" w:rsidRDefault="00495C1D" w:rsidP="00495C1D">
      <w:pPr>
        <w:spacing w:line="312" w:lineRule="auto"/>
      </w:pPr>
    </w:p>
    <w:p w14:paraId="228B8845" w14:textId="77777777" w:rsidR="00495C1D" w:rsidRPr="00FF129E" w:rsidRDefault="00495C1D" w:rsidP="00495C1D">
      <w:pPr>
        <w:spacing w:line="312" w:lineRule="auto"/>
      </w:pPr>
      <w:r w:rsidRPr="009A2879">
        <w:rPr>
          <w:b/>
          <w:bCs/>
        </w:rPr>
        <w:lastRenderedPageBreak/>
        <w:t>3. kérdés:</w:t>
      </w:r>
      <w:r w:rsidRPr="00FF129E">
        <w:t xml:space="preserve"> A következő alfejezet kutatásai nagy adatbázisban vizsgálták a diabetes mellitus szerepét vascularis betegségek kimenetelében. Azt találták, hogy akut stroke-ban nem diabeteses betegek körében a felvételkor észlelt hyperglycaemia rosszabb 30-napos túléléssel járt együtt, amely jelenség kevésbé volt kifejezett (vagy nem szignifikáns) cukorbeteg populációban. Mivel magyarázható a jelenség? A disszertáció szerint a diabetes mellitus önmagában kedvezőtlenebb akut stroke kimenetelhez vezet és ez elfedheti, maszkolhatja a stroke kezdetekor a vércukorszint akut hatását. Csak ez, vagy esetleg egyéb tényezők is? (Teljes populációra nézve a negyedik vércukorszint kvartilisba tartozó betegek 30-napos kórházi elhalálozási kockázata 3-szoros volt.)</w:t>
      </w:r>
    </w:p>
    <w:p w14:paraId="5DF78E7D" w14:textId="77777777" w:rsidR="00495C1D" w:rsidRDefault="00495C1D" w:rsidP="00495C1D">
      <w:pPr>
        <w:spacing w:line="312" w:lineRule="auto"/>
      </w:pPr>
    </w:p>
    <w:p w14:paraId="7D223FED" w14:textId="77777777" w:rsidR="00495C1D" w:rsidRPr="00FF129E" w:rsidRDefault="00495C1D" w:rsidP="00495C1D">
      <w:pPr>
        <w:spacing w:line="312" w:lineRule="auto"/>
        <w:rPr>
          <w:b/>
          <w:bCs/>
        </w:rPr>
      </w:pPr>
      <w:r w:rsidRPr="00FF129E">
        <w:rPr>
          <w:b/>
          <w:bCs/>
        </w:rPr>
        <w:t>Válasz:</w:t>
      </w:r>
    </w:p>
    <w:p w14:paraId="25FB643B" w14:textId="77777777" w:rsidR="00495C1D" w:rsidRPr="009A2879" w:rsidRDefault="00495C1D" w:rsidP="00495C1D">
      <w:pPr>
        <w:spacing w:line="312" w:lineRule="auto"/>
      </w:pPr>
      <w:r w:rsidRPr="009A2879">
        <w:t>A diabetes mellitus</w:t>
      </w:r>
      <w:r>
        <w:t>nak az</w:t>
      </w:r>
      <w:r w:rsidRPr="009A2879">
        <w:t xml:space="preserve"> akut stroke kimenetelére gyakorolt kedvezőtlen hatását több vizsgálat is leírta (Lau és mtsai 2019). Diabeteses betegekben a bármilyen okból bekövetkező kórházi halálozáshoz </w:t>
      </w:r>
      <w:r>
        <w:t>fokozott</w:t>
      </w:r>
      <w:r w:rsidRPr="009A2879">
        <w:t xml:space="preserve"> mértékben járul hozzá cerebrovasculáris betegség (Yao és mtsai 2016, Zelada és mtsai 2016). Leírták a diabetes társulását a stroke</w:t>
      </w:r>
      <w:r>
        <w:t xml:space="preserve"> utáni</w:t>
      </w:r>
      <w:r w:rsidRPr="009A2879">
        <w:t xml:space="preserve"> rosszabb funkcionális kimenetelhez </w:t>
      </w:r>
      <w:r>
        <w:t>(</w:t>
      </w:r>
      <w:r w:rsidRPr="009A2879">
        <w:t xml:space="preserve">különösen </w:t>
      </w:r>
      <w:r>
        <w:t>a</w:t>
      </w:r>
      <w:r w:rsidRPr="009A2879">
        <w:t xml:space="preserve"> rosszul kontrollált diabeteses betegek körében</w:t>
      </w:r>
      <w:r>
        <w:t>:</w:t>
      </w:r>
      <w:r w:rsidRPr="009A2879">
        <w:t xml:space="preserve"> HgA1c </w:t>
      </w:r>
      <w:r w:rsidRPr="009A2879">
        <w:sym w:font="Symbol" w:char="F0B3"/>
      </w:r>
      <w:r w:rsidRPr="009A2879">
        <w:t xml:space="preserve"> 7%</w:t>
      </w:r>
      <w:r>
        <w:t>;</w:t>
      </w:r>
      <w:r w:rsidRPr="009A2879">
        <w:t xml:space="preserve"> (Lattanzi és mtsai 2016),</w:t>
      </w:r>
      <w:r w:rsidRPr="006F4221">
        <w:t xml:space="preserve"> </w:t>
      </w:r>
      <w:r w:rsidRPr="009A2879">
        <w:t xml:space="preserve">továbbá </w:t>
      </w:r>
      <w:r>
        <w:t xml:space="preserve">a </w:t>
      </w:r>
      <w:r w:rsidRPr="009A2879">
        <w:t>rosszabb felépülési mutatók</w:t>
      </w:r>
      <w:r>
        <w:t>hoz</w:t>
      </w:r>
      <w:r w:rsidRPr="009A2879">
        <w:t xml:space="preserve"> (Masrur és mtsai 2015)</w:t>
      </w:r>
      <w:r>
        <w:t xml:space="preserve"> és</w:t>
      </w:r>
      <w:r w:rsidRPr="009A2879">
        <w:t xml:space="preserve"> a haemorrhagiás transzformáció kockázatának növe</w:t>
      </w:r>
      <w:r>
        <w:t>kedéséhez</w:t>
      </w:r>
      <w:r w:rsidRPr="009A2879">
        <w:t xml:space="preserve"> (Rocco és mtsai 2013). Egy kiterjedt metaanalízisben 66 közleményt elemeztek, melyben a diabetes mellitus és </w:t>
      </w:r>
      <w:r>
        <w:t xml:space="preserve">az </w:t>
      </w:r>
      <w:r w:rsidRPr="009A2879">
        <w:t>akut stroke kapcsolatát vizsgálták (Lau és mtsai 2019). Az eredmények szerint a diabetes mellitus</w:t>
      </w:r>
      <w:r>
        <w:t>nak a</w:t>
      </w:r>
      <w:r w:rsidRPr="009A2879">
        <w:t xml:space="preserve"> stroke kimenetelére gyakorolt hatás</w:t>
      </w:r>
      <w:r>
        <w:t>a</w:t>
      </w:r>
      <w:r w:rsidRPr="009A2879">
        <w:t xml:space="preserve"> inkonzisztens és ellentmondásos</w:t>
      </w:r>
      <w:r>
        <w:t>. Erre</w:t>
      </w:r>
      <w:r w:rsidRPr="009A2879">
        <w:t xml:space="preserve"> való tekintettel szükség lenne nagy</w:t>
      </w:r>
      <w:r>
        <w:t>,</w:t>
      </w:r>
      <w:r w:rsidRPr="009A2879">
        <w:t xml:space="preserve"> prospektív vizsgálatokra, melyek során a diabetes mellitus jellemzésére a HgA1c értékeket használják és a stroke funkcionális kimenetelét egységes módszertannal </w:t>
      </w:r>
      <w:r>
        <w:t>értékelik</w:t>
      </w:r>
      <w:r w:rsidRPr="009A2879">
        <w:t>. Ezek mellett azonban a szerzők megállapítják, hogy a diabetes mellitus az akut stroke igen magas prevalenciát mutató komorbid állapota, mely</w:t>
      </w:r>
      <w:r>
        <w:t>nek</w:t>
      </w:r>
      <w:r w:rsidRPr="009A2879">
        <w:t xml:space="preserve"> jelenléte kedvezőtlenebb kimenetellel társul.</w:t>
      </w:r>
    </w:p>
    <w:p w14:paraId="3840EC19" w14:textId="553C89F7" w:rsidR="00495C1D" w:rsidRPr="009A2879" w:rsidRDefault="00495C1D" w:rsidP="00495C1D">
      <w:pPr>
        <w:spacing w:line="312" w:lineRule="auto"/>
      </w:pPr>
      <w:r w:rsidRPr="009A2879">
        <w:t>A felvételkor mért hiperglikémi</w:t>
      </w:r>
      <w:r>
        <w:t>ának az</w:t>
      </w:r>
      <w:r w:rsidRPr="009A2879">
        <w:t xml:space="preserve"> akut stroke kimenetelére gyakorolt kedvezőtlen hatása többféleképpen magyarázható. </w:t>
      </w:r>
      <w:r>
        <w:t>A</w:t>
      </w:r>
      <w:r w:rsidRPr="009A2879">
        <w:t xml:space="preserve"> magasabb glükózszint közvetlenül toxikus lehet az ischemiás idegszövetre, </w:t>
      </w:r>
      <w:r>
        <w:t>de</w:t>
      </w:r>
      <w:r w:rsidRPr="00495C1D">
        <w:t xml:space="preserve"> </w:t>
      </w:r>
      <w:r>
        <w:t xml:space="preserve">közvetetten </w:t>
      </w:r>
      <w:r>
        <w:t>káros</w:t>
      </w:r>
      <w:r>
        <w:t xml:space="preserve"> lehet </w:t>
      </w:r>
      <w:r>
        <w:t>a</w:t>
      </w:r>
      <w:r>
        <w:t xml:space="preserve"> </w:t>
      </w:r>
      <w:r w:rsidRPr="009A2879">
        <w:t xml:space="preserve">laktátfelhalmozódás és </w:t>
      </w:r>
      <w:r>
        <w:t>az</w:t>
      </w:r>
      <w:r w:rsidRPr="009A2879">
        <w:t xml:space="preserve"> intracelluláris acidózis, ami lipidperoxidációhoz és fokozott oxidatív stresszhez vezet. Ennek további hatása az intracelluláris kálcium</w:t>
      </w:r>
      <w:r>
        <w:t>-</w:t>
      </w:r>
      <w:r w:rsidRPr="009A2879">
        <w:t xml:space="preserve">szint megemelkedése és </w:t>
      </w:r>
      <w:r>
        <w:t xml:space="preserve">ezáltal </w:t>
      </w:r>
      <w:r w:rsidRPr="009A2879">
        <w:t>excitotoxicitás kialakulása</w:t>
      </w:r>
      <w:r>
        <w:t xml:space="preserve"> (hasonlóan a </w:t>
      </w:r>
      <w:r w:rsidRPr="009A2879">
        <w:t>glutamáterg</w:t>
      </w:r>
      <w:r w:rsidRPr="00D720BA">
        <w:t xml:space="preserve"> </w:t>
      </w:r>
      <w:r w:rsidRPr="009A2879">
        <w:t>excitotoxicitás</w:t>
      </w:r>
      <w:r>
        <w:t>hoz)</w:t>
      </w:r>
      <w:r w:rsidRPr="009A2879">
        <w:t>, ami mitochondriális funkciózavar</w:t>
      </w:r>
      <w:r>
        <w:t>t</w:t>
      </w:r>
      <w:r w:rsidRPr="009A2879">
        <w:t xml:space="preserve"> </w:t>
      </w:r>
      <w:r>
        <w:t>okoz</w:t>
      </w:r>
      <w:r w:rsidRPr="009A2879">
        <w:t xml:space="preserve"> (Capes és mtsai 2001). Ez a mechanizmus különös jelentőséggel bír a penumbra szempontjából, </w:t>
      </w:r>
      <w:r>
        <w:t>melynek</w:t>
      </w:r>
      <w:r w:rsidRPr="009A2879">
        <w:t xml:space="preserve"> hiperglikémi</w:t>
      </w:r>
      <w:r>
        <w:t>a mellett</w:t>
      </w:r>
      <w:r w:rsidRPr="009A2879">
        <w:t xml:space="preserve"> nagyobb </w:t>
      </w:r>
      <w:r>
        <w:t>része</w:t>
      </w:r>
      <w:r w:rsidRPr="009A2879">
        <w:t xml:space="preserve"> esik</w:t>
      </w:r>
      <w:r>
        <w:t xml:space="preserve"> az</w:t>
      </w:r>
      <w:r w:rsidRPr="009A2879">
        <w:t xml:space="preserve"> ischemia áldozatául (Olsen és mtsai 1983). </w:t>
      </w:r>
    </w:p>
    <w:p w14:paraId="2DAE4B8E" w14:textId="77777777" w:rsidR="00495C1D" w:rsidRPr="009A2879" w:rsidRDefault="00495C1D" w:rsidP="00495C1D">
      <w:pPr>
        <w:spacing w:line="312" w:lineRule="auto"/>
      </w:pPr>
      <w:r>
        <w:t>A</w:t>
      </w:r>
      <w:r w:rsidRPr="009A2879">
        <w:t>z</w:t>
      </w:r>
      <w:r>
        <w:t xml:space="preserve"> is szerepet játszhat</w:t>
      </w:r>
      <w:r w:rsidRPr="009A2879">
        <w:t xml:space="preserve">, hogy a hiperglikémiás betegekben relatív inzulinhiány lép fel, ami miatt csökken a glükóz perifériás felvétele és ezzel egyidejűleg nő a keringésben </w:t>
      </w:r>
      <w:r>
        <w:t>a</w:t>
      </w:r>
      <w:r w:rsidRPr="009A2879">
        <w:t xml:space="preserve"> szabadzsírsav szint</w:t>
      </w:r>
      <w:r>
        <w:t>je</w:t>
      </w:r>
      <w:r w:rsidRPr="009A2879">
        <w:t>, ami akut endothel dysfunctio</w:t>
      </w:r>
      <w:r>
        <w:t>t</w:t>
      </w:r>
      <w:r w:rsidRPr="009A2879">
        <w:t xml:space="preserve"> </w:t>
      </w:r>
      <w:r>
        <w:t>okozhat</w:t>
      </w:r>
      <w:r w:rsidRPr="009A2879">
        <w:t xml:space="preserve"> (Steinberg és mtsai 1997). </w:t>
      </w:r>
    </w:p>
    <w:p w14:paraId="12956393" w14:textId="77777777" w:rsidR="00495C1D" w:rsidRPr="009A2879" w:rsidRDefault="00495C1D" w:rsidP="00495C1D">
      <w:pPr>
        <w:spacing w:line="312" w:lineRule="auto"/>
      </w:pPr>
      <w:r w:rsidRPr="009A2879">
        <w:lastRenderedPageBreak/>
        <w:t>További lehetséges mechanizmus, hogy a</w:t>
      </w:r>
      <w:r>
        <w:t>z akut</w:t>
      </w:r>
      <w:r w:rsidRPr="009A2879">
        <w:t xml:space="preserve"> </w:t>
      </w:r>
      <w:r>
        <w:t xml:space="preserve">stroke-kal </w:t>
      </w:r>
      <w:r w:rsidRPr="009A2879">
        <w:t>felv</w:t>
      </w:r>
      <w:r>
        <w:t>ett,</w:t>
      </w:r>
      <w:r w:rsidRPr="009A2879">
        <w:t xml:space="preserve"> diabetes mellitus</w:t>
      </w:r>
      <w:r>
        <w:t xml:space="preserve"> diagnózissal nem rendelkező</w:t>
      </w:r>
      <w:r w:rsidRPr="009A2879">
        <w:t xml:space="preserve"> betegek között diagnosztizálatlan cukorbetegek</w:t>
      </w:r>
      <w:r>
        <w:t xml:space="preserve"> is vannak</w:t>
      </w:r>
      <w:r w:rsidRPr="009A2879">
        <w:t>, illetve olyanok, akiknél nyugalmi állapotban a vércukorszint a normál tartomány felső sávjában</w:t>
      </w:r>
      <w:r>
        <w:t xml:space="preserve"> ill.</w:t>
      </w:r>
      <w:r w:rsidRPr="009A2879">
        <w:t xml:space="preserve"> a prediabetes-es tartományban van (ezt a jelenséget nevezik dysglikémiának is) (Jaret és mtsai 1996). Kimutatták, hogy a diabetes mellitus diagnosztikus küszöb</w:t>
      </w:r>
      <w:r>
        <w:t>e</w:t>
      </w:r>
      <w:r w:rsidRPr="009A2879">
        <w:t xml:space="preserve"> alatti, de a normál tartomány </w:t>
      </w:r>
      <w:r>
        <w:t>felső részére eső</w:t>
      </w:r>
      <w:r w:rsidRPr="009A2879">
        <w:t xml:space="preserve"> vércukorszint is </w:t>
      </w:r>
      <w:r>
        <w:t xml:space="preserve">okoz </w:t>
      </w:r>
      <w:r w:rsidRPr="009A2879">
        <w:t>endothel dysfunctio</w:t>
      </w:r>
      <w:r>
        <w:t>t, ami</w:t>
      </w:r>
      <w:r w:rsidRPr="009A2879">
        <w:t xml:space="preserve"> diabetes mellitusra jellemző </w:t>
      </w:r>
      <w:r>
        <w:t>mikroangiopátiát</w:t>
      </w:r>
      <w:r w:rsidRPr="009A2879">
        <w:t xml:space="preserve"> </w:t>
      </w:r>
      <w:r>
        <w:t>és</w:t>
      </w:r>
      <w:r w:rsidRPr="009A2879">
        <w:t xml:space="preserve"> </w:t>
      </w:r>
      <w:r>
        <w:t>(</w:t>
      </w:r>
      <w:r w:rsidRPr="009A2879">
        <w:t>a nagyobb agyi erekben</w:t>
      </w:r>
      <w:r>
        <w:t>)</w:t>
      </w:r>
      <w:r w:rsidRPr="009A2879">
        <w:t xml:space="preserve"> atherosclerosis</w:t>
      </w:r>
      <w:r>
        <w:t>t</w:t>
      </w:r>
      <w:r w:rsidRPr="009A2879">
        <w:t xml:space="preserve"> </w:t>
      </w:r>
      <w:r>
        <w:t>indít el</w:t>
      </w:r>
      <w:r w:rsidRPr="009A2879">
        <w:t xml:space="preserve"> (Capes és mtsai 2001). Ez alapján felvethető, hogy a diabetes mellitus</w:t>
      </w:r>
      <w:r>
        <w:t xml:space="preserve"> diagnózissal nem rendelkező</w:t>
      </w:r>
      <w:r w:rsidRPr="009A2879">
        <w:t xml:space="preserve"> betegek ezen alcsoportjában a diabetes mellitus hatásaira nem korrigálunk, így a kedvezőtlen kimenetel </w:t>
      </w:r>
      <w:r>
        <w:t xml:space="preserve">az elemzésben </w:t>
      </w:r>
      <w:r w:rsidRPr="009A2879">
        <w:t xml:space="preserve">a magasabb vércukorszinttel összefüggésben jelenik meg. </w:t>
      </w:r>
    </w:p>
    <w:p w14:paraId="0819C1D7" w14:textId="77777777" w:rsidR="00495C1D" w:rsidRPr="009A2879" w:rsidRDefault="00495C1D" w:rsidP="00495C1D">
      <w:pPr>
        <w:spacing w:line="312" w:lineRule="auto"/>
      </w:pPr>
      <w:r w:rsidRPr="009A2879">
        <w:t>Meg</w:t>
      </w:r>
      <w:r>
        <w:t>említ</w:t>
      </w:r>
      <w:r w:rsidRPr="009A2879">
        <w:t xml:space="preserve">endő az akut hiperglikémia vér-agy gátra gyakorolt kedvezőtlen hatása is (Dietrich és mtsai 1993), valamint az, hogy a nagyobb kiterjedésű stroke a szervezetben fokozott stressz-válasz kialakulását indítja el, így a felvételkor mért hiperglikémia mértéke összefügg a stroke súlyosságával, </w:t>
      </w:r>
      <w:r>
        <w:t xml:space="preserve">tehát </w:t>
      </w:r>
      <w:r w:rsidRPr="009A2879">
        <w:t xml:space="preserve">annak indikátora (Cztonkowska és mtsai 1997). </w:t>
      </w:r>
    </w:p>
    <w:p w14:paraId="5F2E1ADD" w14:textId="77777777" w:rsidR="00495C1D" w:rsidRPr="009A2879" w:rsidRDefault="00495C1D" w:rsidP="00495C1D">
      <w:pPr>
        <w:spacing w:line="312" w:lineRule="auto"/>
      </w:pPr>
      <w:r w:rsidRPr="009A2879">
        <w:t xml:space="preserve">A fentiek mellett fontos megjegyezni, hogy vizsgálatunkban az ismert diabetes mellitusos betegek száma </w:t>
      </w:r>
      <w:r>
        <w:t>jóval</w:t>
      </w:r>
      <w:r w:rsidRPr="009A2879">
        <w:t xml:space="preserve"> </w:t>
      </w:r>
      <w:r>
        <w:t>kise</w:t>
      </w:r>
      <w:r w:rsidRPr="009A2879">
        <w:t xml:space="preserve">bb volt </w:t>
      </w:r>
      <w:r>
        <w:t xml:space="preserve">a </w:t>
      </w:r>
      <w:r w:rsidRPr="009A2879">
        <w:t>diabetes mellitus</w:t>
      </w:r>
      <w:r>
        <w:t xml:space="preserve"> diagnózissal nem rendelkező</w:t>
      </w:r>
      <w:r w:rsidRPr="009A2879">
        <w:t xml:space="preserve"> betegek</w:t>
      </w:r>
      <w:r>
        <w:t>énél</w:t>
      </w:r>
      <w:r w:rsidRPr="009A2879">
        <w:t xml:space="preserve">, így elképzelhető, hogy </w:t>
      </w:r>
      <w:r>
        <w:t>a kis</w:t>
      </w:r>
      <w:r w:rsidRPr="009A2879">
        <w:t xml:space="preserve"> elemszám </w:t>
      </w:r>
      <w:r>
        <w:t>miatt nem érte el a jelenség</w:t>
      </w:r>
      <w:r w:rsidRPr="009A2879">
        <w:t xml:space="preserve"> a statisztikai szignifikancia </w:t>
      </w:r>
      <w:r>
        <w:t>szintjét</w:t>
      </w:r>
      <w:r w:rsidRPr="009A2879">
        <w:t>. Kiemelendő továbbá, hogy a</w:t>
      </w:r>
      <w:r>
        <w:t>z ismert</w:t>
      </w:r>
      <w:r w:rsidRPr="009A2879">
        <w:t xml:space="preserve"> diabeteses mintában magasabb volt a</w:t>
      </w:r>
      <w:r>
        <w:t>z átlagos</w:t>
      </w:r>
      <w:r w:rsidRPr="009A2879">
        <w:t xml:space="preserve"> vércukorszint </w:t>
      </w:r>
      <w:r>
        <w:t>(</w:t>
      </w:r>
      <w:r w:rsidRPr="009A2879">
        <w:t>a nem diabeteses csoport legmagasabb kvartilisének vércukorszint</w:t>
      </w:r>
      <w:r>
        <w:t>j</w:t>
      </w:r>
      <w:r w:rsidRPr="009A2879">
        <w:t xml:space="preserve">e 7,5 mmol/l feletti volt, </w:t>
      </w:r>
      <w:r>
        <w:t xml:space="preserve">míg </w:t>
      </w:r>
      <w:r w:rsidRPr="009A2879">
        <w:t>a diabeteses csoportban a legalacsonyabb vércukorszint kvartilise 7 mmol/l alatti értéket vett fel</w:t>
      </w:r>
      <w:r>
        <w:t>)</w:t>
      </w:r>
      <w:r w:rsidRPr="009A2879">
        <w:t>. Ez alapján felmerül</w:t>
      </w:r>
      <w:r>
        <w:t>het</w:t>
      </w:r>
      <w:r w:rsidRPr="009A2879">
        <w:t>, hogy a</w:t>
      </w:r>
      <w:r>
        <w:t>z ismert</w:t>
      </w:r>
      <w:r w:rsidRPr="009A2879">
        <w:t xml:space="preserve"> diabeteses betegek körében mért magasabb felvételkori vércukorszintek mellett már nem volt kimutatható</w:t>
      </w:r>
      <w:r>
        <w:t xml:space="preserve"> a</w:t>
      </w:r>
      <w:r w:rsidRPr="009A2879">
        <w:t xml:space="preserve"> statisztikailag szignifikáns többlet halálozás. </w:t>
      </w:r>
    </w:p>
    <w:p w14:paraId="06C96E40" w14:textId="77777777" w:rsidR="00495C1D" w:rsidRPr="009A2879" w:rsidRDefault="00495C1D" w:rsidP="00495C1D">
      <w:pPr>
        <w:spacing w:line="312" w:lineRule="auto"/>
        <w:jc w:val="center"/>
      </w:pPr>
      <w:r w:rsidRPr="009A2879">
        <w:rPr>
          <w:noProof/>
        </w:rPr>
        <w:drawing>
          <wp:inline distT="0" distB="0" distL="0" distR="0" wp14:anchorId="7F7F14ED" wp14:editId="4952B604">
            <wp:extent cx="2526690" cy="1639619"/>
            <wp:effectExtent l="0" t="0" r="635" b="0"/>
            <wp:docPr id="1981617538" name="Kép 1" descr="A képen szöveg, képernyőkép, Betűtípus, szá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617538" name="Kép 1" descr="A képen szöveg, képernyőkép, Betűtípus, szám látható&#10;&#10;Előfordulhat, hogy az AI által létrehozott tartalom helytele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7780" cy="166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7382E" w14:textId="77777777" w:rsidR="00495C1D" w:rsidRPr="00F02E17" w:rsidRDefault="00495C1D" w:rsidP="00495C1D">
      <w:pPr>
        <w:spacing w:line="312" w:lineRule="auto"/>
      </w:pPr>
    </w:p>
    <w:p w14:paraId="5C533FFC" w14:textId="77777777" w:rsidR="00495C1D" w:rsidRPr="00F02E17" w:rsidRDefault="00495C1D" w:rsidP="00495C1D">
      <w:pPr>
        <w:spacing w:line="312" w:lineRule="auto"/>
      </w:pPr>
      <w:r w:rsidRPr="009A2879">
        <w:rPr>
          <w:b/>
          <w:bCs/>
        </w:rPr>
        <w:t>4. kérdés:</w:t>
      </w:r>
      <w:r w:rsidRPr="00F02E17">
        <w:t xml:space="preserve"> Megadja a két nitrogén-oxid szintetáz izoforma gátolhatóságának mintegy négyszeres koncentráció különbségét (már a bevezetőben is utal rá); itt inkább érdeklődésből kérdezném (mivel a vasculatura szempontjából talán nincs olyan jelentősége), hogy ezekhez képest milyen a neuronális nitrogén-oxid szintetáz (nNOS) ADMA-val való gátolhatósága? A bevezetőben írja, hogy már fiziológiás körülmények között is modulálják (az ADMA együtt az L-</w:t>
      </w:r>
      <w:r w:rsidRPr="00F02E17">
        <w:rPr>
          <w:i/>
          <w:iCs/>
        </w:rPr>
        <w:t>N</w:t>
      </w:r>
      <w:r w:rsidRPr="00F02E17">
        <w:t xml:space="preserve">-monometilargininnal) neuronokban az nNOS aktivitását. Neuronális sejtkultúrában </w:t>
      </w:r>
      <w:r w:rsidRPr="00F02E17">
        <w:lastRenderedPageBreak/>
        <w:t>kimérték ennek a gátlásnak az IC</w:t>
      </w:r>
      <w:r w:rsidRPr="00F02E17">
        <w:rPr>
          <w:vertAlign w:val="subscript"/>
        </w:rPr>
        <w:t>50</w:t>
      </w:r>
      <w:r w:rsidRPr="00F02E17">
        <w:t xml:space="preserve"> értékét? (Miként endotheliális tenyészetben, amint írja, megtették és kapták az eNOS ADMA általi gátlásának IC</w:t>
      </w:r>
      <w:r w:rsidRPr="00F02E17">
        <w:rPr>
          <w:vertAlign w:val="subscript"/>
        </w:rPr>
        <w:t>50</w:t>
      </w:r>
      <w:r w:rsidRPr="00F02E17">
        <w:t xml:space="preserve"> értékét 3,9 mikromol/L-nek.)</w:t>
      </w:r>
    </w:p>
    <w:p w14:paraId="00CA8962" w14:textId="77777777" w:rsidR="00495C1D" w:rsidRDefault="00495C1D" w:rsidP="00495C1D">
      <w:pPr>
        <w:spacing w:line="312" w:lineRule="auto"/>
      </w:pPr>
    </w:p>
    <w:p w14:paraId="7505181D" w14:textId="77777777" w:rsidR="00495C1D" w:rsidRPr="00F02E17" w:rsidRDefault="00495C1D" w:rsidP="00495C1D">
      <w:pPr>
        <w:spacing w:line="312" w:lineRule="auto"/>
        <w:rPr>
          <w:b/>
          <w:bCs/>
        </w:rPr>
      </w:pPr>
      <w:r w:rsidRPr="00F02E17">
        <w:rPr>
          <w:b/>
          <w:bCs/>
        </w:rPr>
        <w:t>Válasz:</w:t>
      </w:r>
    </w:p>
    <w:p w14:paraId="5F7B147C" w14:textId="77777777" w:rsidR="00495C1D" w:rsidRPr="009A2879" w:rsidRDefault="00495C1D" w:rsidP="00495C1D">
      <w:pPr>
        <w:spacing w:line="312" w:lineRule="auto"/>
      </w:pPr>
      <w:r w:rsidRPr="009A2879">
        <w:t>Az ADMA nNOS gátlásával kapcsolatos IC</w:t>
      </w:r>
      <w:r w:rsidRPr="00444612">
        <w:rPr>
          <w:vertAlign w:val="subscript"/>
        </w:rPr>
        <w:t>50</w:t>
      </w:r>
      <w:r w:rsidRPr="009A2879">
        <w:t xml:space="preserve"> értéket neuronális sejttenyészetben nem találtam. A</w:t>
      </w:r>
      <w:r>
        <w:t>z viszont ismert, hogy az</w:t>
      </w:r>
      <w:r w:rsidRPr="009A2879">
        <w:t xml:space="preserve"> nNOS mind centrális</w:t>
      </w:r>
      <w:r>
        <w:t>,</w:t>
      </w:r>
      <w:r w:rsidRPr="009A2879">
        <w:t xml:space="preserve"> mind perifériás neuronokban expresszálódik, </w:t>
      </w:r>
      <w:r>
        <w:t>továbbá</w:t>
      </w:r>
      <w:r w:rsidRPr="009A2879">
        <w:t xml:space="preserve"> az enzimet </w:t>
      </w:r>
      <w:r>
        <w:t>(</w:t>
      </w:r>
      <w:r w:rsidRPr="009A2879">
        <w:t>fiziológiás L-arginin koncentráció jelenlétében</w:t>
      </w:r>
      <w:r>
        <w:t>)</w:t>
      </w:r>
      <w:r w:rsidRPr="009A2879">
        <w:t xml:space="preserve"> az ADMA irreverzibilisen gátolja. Izolált enzim preparátumban az ADMA nNOS illetve eNOS gátlását jellemző IC</w:t>
      </w:r>
      <w:r w:rsidRPr="009A2879">
        <w:rPr>
          <w:vertAlign w:val="subscript"/>
        </w:rPr>
        <w:t>50</w:t>
      </w:r>
      <w:r w:rsidRPr="009A2879">
        <w:t xml:space="preserve"> érték rendre 1,5 </w:t>
      </w:r>
      <w:r w:rsidRPr="009A2879">
        <w:sym w:font="Symbol" w:char="F06D"/>
      </w:r>
      <w:r w:rsidRPr="009A2879">
        <w:t xml:space="preserve">mol/L és 12 </w:t>
      </w:r>
      <w:r w:rsidRPr="009A2879">
        <w:sym w:font="Symbol" w:char="F06D"/>
      </w:r>
      <w:r w:rsidRPr="009A2879">
        <w:t xml:space="preserve">mol/L volt (Kielstein és mtsai 2007). </w:t>
      </w:r>
    </w:p>
    <w:p w14:paraId="0FCDB97C" w14:textId="77777777" w:rsidR="00495C1D" w:rsidRDefault="00495C1D" w:rsidP="00495C1D">
      <w:pPr>
        <w:spacing w:line="312" w:lineRule="auto"/>
      </w:pPr>
      <w:r w:rsidRPr="009A2879">
        <w:t xml:space="preserve">Egy korábbi közleményben patkány cerebellumból származó, intakt granuláris sejtkultúrában vizsgálták az ADMA hatását az NMDA által indukált neurotoxicitásra (tekintettel arra, hogy az NMDA neurotoxikus hatását elsősorban a NO mediálja). A szerzők kimutatták, hogy 100 </w:t>
      </w:r>
      <w:r w:rsidRPr="009A2879">
        <w:sym w:font="Symbol" w:char="F06D"/>
      </w:r>
      <w:r w:rsidRPr="009A2879">
        <w:t xml:space="preserve">mol/L ADMA előkezelés a 30 perces 50 </w:t>
      </w:r>
      <w:r w:rsidRPr="009A2879">
        <w:sym w:font="Symbol" w:char="F06D"/>
      </w:r>
      <w:r w:rsidRPr="009A2879">
        <w:t>mol/L NMDA expozíció NO termelésre gyakorolt hatását szinte teljesen kivédte, illetve az NMDA expozíciót követően 24 órával az életképes sejtek száma szinte teljesen megtartott volt (szemben a csak NMDA</w:t>
      </w:r>
      <w:r>
        <w:t>-</w:t>
      </w:r>
      <w:r w:rsidRPr="009A2879">
        <w:t xml:space="preserve">nak kitett sejtekkel, ahol a NO szint </w:t>
      </w:r>
      <w:r>
        <w:t xml:space="preserve">a </w:t>
      </w:r>
      <w:r w:rsidRPr="009A2879">
        <w:t>többszörösére nőtt és a sejtek 20%-</w:t>
      </w:r>
      <w:r>
        <w:t>a elpusztult</w:t>
      </w:r>
      <w:r w:rsidRPr="009A2879">
        <w:t>) (Cardounel és mtsai 2002)</w:t>
      </w:r>
      <w:r>
        <w:t>.</w:t>
      </w:r>
    </w:p>
    <w:p w14:paraId="625174C1" w14:textId="77777777" w:rsidR="00495C1D" w:rsidRPr="009A2879" w:rsidRDefault="00495C1D" w:rsidP="00495C1D">
      <w:pPr>
        <w:spacing w:line="312" w:lineRule="auto"/>
      </w:pPr>
    </w:p>
    <w:p w14:paraId="69F8FE7B" w14:textId="77777777" w:rsidR="00495C1D" w:rsidRPr="002F4313" w:rsidRDefault="00495C1D" w:rsidP="00495C1D">
      <w:pPr>
        <w:spacing w:line="312" w:lineRule="auto"/>
      </w:pPr>
      <w:r w:rsidRPr="009A2879">
        <w:rPr>
          <w:b/>
          <w:bCs/>
        </w:rPr>
        <w:t>5. kérdés:</w:t>
      </w:r>
      <w:r w:rsidRPr="002F4313">
        <w:t xml:space="preserve"> Föltételezéseik szerint kortikoszteroiddal kezelt ambuláns asthma bronchiáléban a szisztémás gyulladásos jelek hiányában az indukálható nitrogén-oxid szintetáz (iNOS) nem számottevő, tehát az ADMA a konstitutív NOS enzimek gátlásával fejthette ki kedvezőtlen hatását. Kérdés, hogy tekintve a tüdőszövetet, a neuronalis nitrogén-oxid szintetáz részesedése ebben a gátolhatóságban mennyire jelentős, vagy elhanyagolható inkább az endotheliális NOS-hoz képest (annak tudatában, hogy a bronchiális simaizomzatot és mirigyeket innerváló vegetatív idegekben jelen van és a beidegzés intenzitása a tracheától a bronchiolusokig egyre csökken)? Továbbmenve, az indukálható NOS konstitutívan is jelen van a tüdő epithel sejtjeiben (tehát nem csak a proinflammatorikus citokinek által indukálható módon); ennek mi lehet a részesedése?</w:t>
      </w:r>
    </w:p>
    <w:p w14:paraId="1047A3E1" w14:textId="77777777" w:rsidR="00495C1D" w:rsidRDefault="00495C1D" w:rsidP="00495C1D">
      <w:pPr>
        <w:spacing w:line="312" w:lineRule="auto"/>
      </w:pPr>
    </w:p>
    <w:p w14:paraId="2766B77F" w14:textId="77777777" w:rsidR="00495C1D" w:rsidRPr="00F02E17" w:rsidRDefault="00495C1D" w:rsidP="00495C1D">
      <w:pPr>
        <w:spacing w:line="312" w:lineRule="auto"/>
        <w:rPr>
          <w:b/>
          <w:bCs/>
        </w:rPr>
      </w:pPr>
      <w:r w:rsidRPr="00F02E17">
        <w:rPr>
          <w:b/>
          <w:bCs/>
        </w:rPr>
        <w:t>Válasz:</w:t>
      </w:r>
    </w:p>
    <w:p w14:paraId="2A9A44ED" w14:textId="77777777" w:rsidR="00495C1D" w:rsidRPr="009A2879" w:rsidRDefault="00495C1D" w:rsidP="00495C1D">
      <w:pPr>
        <w:spacing w:line="312" w:lineRule="auto"/>
      </w:pPr>
      <w:r w:rsidRPr="009A2879">
        <w:t>A</w:t>
      </w:r>
      <w:r>
        <w:t>z</w:t>
      </w:r>
      <w:r w:rsidRPr="009A2879">
        <w:t xml:space="preserve"> nNOS jelen van a bronchiális autonóm idegrendszerben, elsősorban a NANC (nem-adrenerg, nem-kolinerg) gátló rostokban, ahol a NO bronchodilatátorként funkcionál. A beidegzés sűrűsége tracheo-bronchiolaris irányban csökken, azaz kis légutak szintjén az nNOS szerepe valószínűleg már jelentéktelen (Riccardolo és mtsai 2004). E tekintetben megemlítendő továbbá, hogy a neuronális NOS aktivitása kalcium/kalmodulin-függő, azaz nem mutat folyamatos bazális aktivitást, hanem az idegi aktivitás függvényében </w:t>
      </w:r>
      <w:r>
        <w:t>változik</w:t>
      </w:r>
      <w:r w:rsidRPr="009A2879">
        <w:t xml:space="preserve"> (Vitecek és mtsai </w:t>
      </w:r>
      <w:r w:rsidRPr="009A2879">
        <w:lastRenderedPageBreak/>
        <w:t>2012). Ezen megfontolásokra való tekintettel az</w:t>
      </w:r>
      <w:r>
        <w:t xml:space="preserve"> nNOS</w:t>
      </w:r>
      <w:r w:rsidRPr="009A2879">
        <w:t xml:space="preserve"> ADMA általi gátolhatósága klinikai szempontból vélhetőleg kevésb</w:t>
      </w:r>
      <w:r>
        <w:t>é</w:t>
      </w:r>
      <w:r w:rsidRPr="009A2879">
        <w:t xml:space="preserve"> meghatározó.</w:t>
      </w:r>
    </w:p>
    <w:p w14:paraId="7B52FE01" w14:textId="77777777" w:rsidR="00495C1D" w:rsidRPr="009A2879" w:rsidRDefault="00495C1D" w:rsidP="00495C1D">
      <w:pPr>
        <w:spacing w:line="312" w:lineRule="auto"/>
      </w:pPr>
      <w:r w:rsidRPr="009A2879">
        <w:t xml:space="preserve">Molekuláris klónozással igazolták, hogy az egészséges humán légutakban az NO-szintézis az iNOS légúti epithélsejtekben </w:t>
      </w:r>
      <w:r>
        <w:t xml:space="preserve">való </w:t>
      </w:r>
      <w:r w:rsidRPr="009A2879">
        <w:t>folyamatos expressziójának köszönhető</w:t>
      </w:r>
      <w:r>
        <w:t>. Míg az</w:t>
      </w:r>
      <w:r w:rsidRPr="009A2879">
        <w:t xml:space="preserve"> iNOS mRNS</w:t>
      </w:r>
      <w:r>
        <w:t>-e</w:t>
      </w:r>
      <w:r w:rsidRPr="009A2879">
        <w:t xml:space="preserve"> </w:t>
      </w:r>
      <w:r>
        <w:t>nagymértékben</w:t>
      </w:r>
      <w:r w:rsidRPr="009A2879">
        <w:t xml:space="preserve"> expresszálódik az epithélsejtekben, más tüdősejtekben nem mutatható ki, </w:t>
      </w:r>
      <w:r>
        <w:t>vagyis</w:t>
      </w:r>
      <w:r w:rsidRPr="009A2879">
        <w:t xml:space="preserve"> a légúti epithélsejtek </w:t>
      </w:r>
      <w:r>
        <w:t xml:space="preserve">ebből a szempontból </w:t>
      </w:r>
      <w:r w:rsidRPr="009A2879">
        <w:t xml:space="preserve">egyediek. Kimutatták továbbá, hogy ez a konstitutív iNOS expresszió jelentős mértékben csökken inhalációs szteroid alkalmazása mellett. Ebből az következik, hogy az iNOS szerepe alárendelt a szteroid kezelésben részesülő betegek körében. </w:t>
      </w:r>
    </w:p>
    <w:p w14:paraId="39E75843" w14:textId="77777777" w:rsidR="00495C1D" w:rsidRPr="009A2879" w:rsidRDefault="00495C1D" w:rsidP="00495C1D">
      <w:pPr>
        <w:spacing w:line="312" w:lineRule="auto"/>
      </w:pPr>
      <w:r w:rsidRPr="009A2879">
        <w:t>Érdekes azonban az a vizsgálat, melyben műtétileg eltávolított humán perifériás tüdőszövet</w:t>
      </w:r>
      <w:r>
        <w:t>ből</w:t>
      </w:r>
      <w:r w:rsidRPr="009A2879">
        <w:t xml:space="preserve"> Western blot technikával kvantifikálták az iNOS, eNOS és nNOS fehérjeexpressziót, illetve reverz transzkriptáz PCR-rel </w:t>
      </w:r>
      <w:r>
        <w:t>meg</w:t>
      </w:r>
      <w:r w:rsidRPr="009A2879">
        <w:t>határozták az iNOS, eNOS és nNOS mRNS</w:t>
      </w:r>
      <w:r>
        <w:t>-</w:t>
      </w:r>
      <w:r w:rsidRPr="009A2879">
        <w:t xml:space="preserve">szintet (Brindicci és mtsai 2010). </w:t>
      </w:r>
      <w:r>
        <w:t>Az ö</w:t>
      </w:r>
      <w:r w:rsidRPr="009A2879">
        <w:t>sszesen 11 nemdohányzó kontrol személy mintá</w:t>
      </w:r>
      <w:r>
        <w:t>iban</w:t>
      </w:r>
      <w:r w:rsidRPr="009A2879">
        <w:t xml:space="preserve"> a következőket találták</w:t>
      </w:r>
      <w:r>
        <w:t>:</w:t>
      </w:r>
    </w:p>
    <w:p w14:paraId="7B31CB64" w14:textId="77777777" w:rsidR="00495C1D" w:rsidRPr="009A2879" w:rsidRDefault="00495C1D" w:rsidP="00495C1D">
      <w:pPr>
        <w:pStyle w:val="Listaszerbekezds"/>
        <w:numPr>
          <w:ilvl w:val="0"/>
          <w:numId w:val="1"/>
        </w:numPr>
        <w:spacing w:line="312" w:lineRule="auto"/>
        <w:ind w:left="0" w:firstLine="284"/>
        <w:contextualSpacing w:val="0"/>
      </w:pPr>
      <w:r>
        <w:t xml:space="preserve">az </w:t>
      </w:r>
      <w:r w:rsidRPr="009A2879">
        <w:t xml:space="preserve">iNOS fehérjeexpresszió szintje 0,6 </w:t>
      </w:r>
      <w:r w:rsidRPr="009A2879">
        <w:sym w:font="Symbol" w:char="F0B1"/>
      </w:r>
      <w:r w:rsidRPr="009A2879">
        <w:t>0,2 iNOS /β-aktin volt</w:t>
      </w:r>
    </w:p>
    <w:p w14:paraId="4054BF5A" w14:textId="77777777" w:rsidR="00495C1D" w:rsidRPr="009A2879" w:rsidRDefault="00495C1D" w:rsidP="00495C1D">
      <w:pPr>
        <w:pStyle w:val="Listaszerbekezds"/>
        <w:numPr>
          <w:ilvl w:val="0"/>
          <w:numId w:val="1"/>
        </w:numPr>
        <w:spacing w:line="312" w:lineRule="auto"/>
        <w:ind w:left="0" w:firstLine="284"/>
        <w:contextualSpacing w:val="0"/>
      </w:pPr>
      <w:r>
        <w:t xml:space="preserve">az </w:t>
      </w:r>
      <w:r w:rsidRPr="009A2879">
        <w:t xml:space="preserve">nNOS fehérjeexpresszió szintje 0,78 </w:t>
      </w:r>
      <w:r w:rsidRPr="009A2879">
        <w:sym w:font="Symbol" w:char="F0B1"/>
      </w:r>
      <w:r w:rsidRPr="009A2879">
        <w:t>0,21 nNOS /β-aktin volt</w:t>
      </w:r>
    </w:p>
    <w:p w14:paraId="0E3DBBA3" w14:textId="77777777" w:rsidR="00495C1D" w:rsidRPr="009A2879" w:rsidRDefault="00495C1D" w:rsidP="00495C1D">
      <w:pPr>
        <w:pStyle w:val="Listaszerbekezds"/>
        <w:numPr>
          <w:ilvl w:val="0"/>
          <w:numId w:val="1"/>
        </w:numPr>
        <w:spacing w:line="312" w:lineRule="auto"/>
        <w:ind w:left="0" w:firstLine="284"/>
        <w:contextualSpacing w:val="0"/>
      </w:pPr>
      <w:r>
        <w:t xml:space="preserve">az </w:t>
      </w:r>
      <w:r w:rsidRPr="009A2879">
        <w:t xml:space="preserve">eNOS fehérjeexpresszió szintje 0,4 </w:t>
      </w:r>
      <w:r w:rsidRPr="009A2879">
        <w:sym w:font="Symbol" w:char="F0B1"/>
      </w:r>
      <w:r w:rsidRPr="009A2879">
        <w:t>0,07 eNOS/ /β-aktin volt</w:t>
      </w:r>
    </w:p>
    <w:p w14:paraId="71540AD1" w14:textId="77777777" w:rsidR="00495C1D" w:rsidRPr="009A2879" w:rsidRDefault="00495C1D" w:rsidP="00495C1D">
      <w:pPr>
        <w:pStyle w:val="Listaszerbekezds"/>
        <w:numPr>
          <w:ilvl w:val="0"/>
          <w:numId w:val="1"/>
        </w:numPr>
        <w:spacing w:line="312" w:lineRule="auto"/>
        <w:ind w:left="0" w:firstLine="284"/>
        <w:contextualSpacing w:val="0"/>
      </w:pPr>
      <w:r>
        <w:t xml:space="preserve">az </w:t>
      </w:r>
      <w:r w:rsidRPr="009A2879">
        <w:t xml:space="preserve">iNOS mRNS szintje 12,5 </w:t>
      </w:r>
      <w:r w:rsidRPr="009A2879">
        <w:sym w:font="Symbol" w:char="F0B1"/>
      </w:r>
      <w:r w:rsidRPr="009A2879">
        <w:t>6,6 mRNS/GAPDH volt</w:t>
      </w:r>
    </w:p>
    <w:p w14:paraId="402FF361" w14:textId="77777777" w:rsidR="00495C1D" w:rsidRPr="009A2879" w:rsidRDefault="00495C1D" w:rsidP="00495C1D">
      <w:pPr>
        <w:pStyle w:val="Listaszerbekezds"/>
        <w:numPr>
          <w:ilvl w:val="0"/>
          <w:numId w:val="1"/>
        </w:numPr>
        <w:spacing w:line="312" w:lineRule="auto"/>
        <w:ind w:left="0" w:firstLine="284"/>
        <w:contextualSpacing w:val="0"/>
      </w:pPr>
      <w:r>
        <w:t xml:space="preserve">az </w:t>
      </w:r>
      <w:r w:rsidRPr="009A2879">
        <w:t xml:space="preserve">nNOS mRNS szintje 211,6 </w:t>
      </w:r>
      <w:r w:rsidRPr="009A2879">
        <w:sym w:font="Symbol" w:char="F0B1"/>
      </w:r>
      <w:r w:rsidRPr="009A2879">
        <w:t>54 mRNS/GAPDH volt</w:t>
      </w:r>
    </w:p>
    <w:p w14:paraId="0A98A908" w14:textId="77777777" w:rsidR="00495C1D" w:rsidRPr="009A2879" w:rsidRDefault="00495C1D" w:rsidP="00495C1D">
      <w:pPr>
        <w:pStyle w:val="Listaszerbekezds"/>
        <w:numPr>
          <w:ilvl w:val="0"/>
          <w:numId w:val="1"/>
        </w:numPr>
        <w:spacing w:line="312" w:lineRule="auto"/>
        <w:ind w:left="0" w:firstLine="284"/>
        <w:contextualSpacing w:val="0"/>
      </w:pPr>
      <w:r>
        <w:t xml:space="preserve">az </w:t>
      </w:r>
      <w:r w:rsidRPr="009A2879">
        <w:t xml:space="preserve">eNOS mRNS szintje 101 </w:t>
      </w:r>
      <w:r w:rsidRPr="009A2879">
        <w:sym w:font="Symbol" w:char="F0B1"/>
      </w:r>
      <w:r w:rsidRPr="009A2879">
        <w:t>48 mRNS/GAPDH volt.</w:t>
      </w:r>
    </w:p>
    <w:p w14:paraId="1D9954C0" w14:textId="77777777" w:rsidR="00495C1D" w:rsidRPr="009A2879" w:rsidRDefault="00495C1D" w:rsidP="00495C1D">
      <w:pPr>
        <w:spacing w:line="312" w:lineRule="auto"/>
      </w:pPr>
      <w:r w:rsidRPr="009A2879">
        <w:t xml:space="preserve">A szerzők abszolút értékeket nem közöltek, de a három izoforma egymáshoz </w:t>
      </w:r>
      <w:r>
        <w:t>képesti</w:t>
      </w:r>
      <w:r w:rsidRPr="009A2879">
        <w:t xml:space="preserve"> aránya tájékoztató jellegű. </w:t>
      </w:r>
      <w:r>
        <w:t>Érdekes</w:t>
      </w:r>
      <w:r w:rsidRPr="009A2879">
        <w:t>, hogy ebben a vizsgálatban a perifériás tüdőszövetben a NOS mindhárom izoformá</w:t>
      </w:r>
      <w:r>
        <w:t>já</w:t>
      </w:r>
      <w:r w:rsidRPr="009A2879">
        <w:t xml:space="preserve">t </w:t>
      </w:r>
      <w:r>
        <w:t>kimutatták</w:t>
      </w:r>
      <w:r w:rsidRPr="009A2879">
        <w:t xml:space="preserve">. </w:t>
      </w:r>
    </w:p>
    <w:p w14:paraId="1E55101C" w14:textId="77777777" w:rsidR="00495C1D" w:rsidRPr="009A2879" w:rsidRDefault="00495C1D" w:rsidP="00495C1D">
      <w:pPr>
        <w:spacing w:line="312" w:lineRule="auto"/>
      </w:pPr>
    </w:p>
    <w:p w14:paraId="4057CB27" w14:textId="77777777" w:rsidR="00495C1D" w:rsidRDefault="00495C1D" w:rsidP="00495C1D">
      <w:pPr>
        <w:spacing w:line="312" w:lineRule="auto"/>
      </w:pPr>
      <w:r w:rsidRPr="009A2879">
        <w:rPr>
          <w:b/>
          <w:bCs/>
        </w:rPr>
        <w:t>6. kérdés:</w:t>
      </w:r>
      <w:r w:rsidRPr="00947748">
        <w:t xml:space="preserve"> Már korábban utalás történt rá, hogy a jelölt jól ismeri: a Szent György Kórház Légzési Panaszokkal Kapcsolatos Kérdőív (St. George’s Respiratory Questionnaire) nem kifejezetten a hangulati életet értékeli/méri (a kérdések sem ilyenek) a Hatás (Impact) kérdések csoportjában, hanem inkább a pulmonológiai betegséggel kapcsolatos pszichológiai distresszt (amelyre többször is utal a jelölt) és amely azért a szorongást és depressziót becslő skálák értékeivel korrelációt mutat (e.g. a már idézett Int J COPD 2(3): 323–328, 2007). Viszont miért választotta végül is az értekezésben következetesen a „hangulat”, „hangulatzavar”, „hangulati élet”, „hangulati élet zavara” kifejezéseket erre a lelkiállapotra, fejezetcímekben is (7.3.1., 7.3.2.) és végig a disszertáció szövegében, a diszkussziót is beleértve? A vizsgálati módszerekben külön fejezetben (6.5.5.) röviden leírja a Beck Depresszió Kérdőv jellegét (69–70. oldal); ennek használatára hol került sor?</w:t>
      </w:r>
    </w:p>
    <w:p w14:paraId="019870D6" w14:textId="77777777" w:rsidR="00495C1D" w:rsidRPr="00947748" w:rsidRDefault="00495C1D" w:rsidP="00495C1D">
      <w:pPr>
        <w:spacing w:line="312" w:lineRule="auto"/>
        <w:rPr>
          <w:b/>
          <w:bCs/>
        </w:rPr>
      </w:pPr>
      <w:r w:rsidRPr="00947748">
        <w:rPr>
          <w:b/>
          <w:bCs/>
        </w:rPr>
        <w:lastRenderedPageBreak/>
        <w:t>Válasz:</w:t>
      </w:r>
    </w:p>
    <w:p w14:paraId="502D620A" w14:textId="77777777" w:rsidR="00495C1D" w:rsidRPr="009A2879" w:rsidRDefault="00495C1D" w:rsidP="00495C1D">
      <w:pPr>
        <w:spacing w:line="312" w:lineRule="auto"/>
      </w:pPr>
      <w:r w:rsidRPr="009A2879">
        <w:t xml:space="preserve">A </w:t>
      </w:r>
      <w:r w:rsidRPr="008503DD">
        <w:rPr>
          <w:lang w:val="en-US"/>
        </w:rPr>
        <w:t>St. George’s Respiratory Questionnaire (SGRQ)</w:t>
      </w:r>
      <w:r w:rsidRPr="009A2879">
        <w:t xml:space="preserve"> „Hatás” (</w:t>
      </w:r>
      <w:r w:rsidRPr="00F63A78">
        <w:rPr>
          <w:lang w:val="en-US"/>
        </w:rPr>
        <w:t>Impact</w:t>
      </w:r>
      <w:r w:rsidRPr="009A2879">
        <w:t xml:space="preserve">) alskálája valóban nem </w:t>
      </w:r>
      <w:r>
        <w:t>számít</w:t>
      </w:r>
      <w:r w:rsidRPr="009A2879">
        <w:t xml:space="preserve"> diagnosztikus eszköz</w:t>
      </w:r>
      <w:r>
        <w:t>nek</w:t>
      </w:r>
      <w:r w:rsidRPr="009A2879">
        <w:t xml:space="preserve"> a major depresszió vagy </w:t>
      </w:r>
      <w:r>
        <w:t xml:space="preserve">a </w:t>
      </w:r>
      <w:r w:rsidRPr="009A2879">
        <w:t xml:space="preserve">generalizált szorongás azonosítására. Ugyanakkor az értekezésben </w:t>
      </w:r>
      <w:r>
        <w:t>a</w:t>
      </w:r>
      <w:r w:rsidRPr="009A2879">
        <w:t xml:space="preserve"> „hangulat” és „hangulatzavar” kifejezések használat</w:t>
      </w:r>
      <w:r>
        <w:t>a</w:t>
      </w:r>
      <w:r w:rsidRPr="009A2879">
        <w:t xml:space="preserve"> </w:t>
      </w:r>
      <w:r>
        <w:t>meg</w:t>
      </w:r>
      <w:r w:rsidRPr="009A2879">
        <w:t>magyaráz</w:t>
      </w:r>
      <w:r>
        <w:t>ható</w:t>
      </w:r>
      <w:r w:rsidRPr="009A2879">
        <w:t xml:space="preserve">. Amint az a kérdésben is </w:t>
      </w:r>
      <w:r>
        <w:t>benne van</w:t>
      </w:r>
      <w:r w:rsidRPr="009A2879">
        <w:t xml:space="preserve">, az SGRQ Impact pontszámai szoros korrelációt mutatnak a specifikus hangulati skálákkal, mint </w:t>
      </w:r>
      <w:r>
        <w:t xml:space="preserve">amilyenek </w:t>
      </w:r>
      <w:r w:rsidRPr="009A2879">
        <w:t>a HADS (</w:t>
      </w:r>
      <w:r w:rsidRPr="00F63A78">
        <w:rPr>
          <w:lang w:val="en-US"/>
        </w:rPr>
        <w:t>Hospital Anxiety and Depression Scale</w:t>
      </w:r>
      <w:r>
        <w:rPr>
          <w:lang w:val="en-US"/>
        </w:rPr>
        <w:t>:</w:t>
      </w:r>
      <w:r w:rsidRPr="009A2879">
        <w:t xml:space="preserve"> Zigmond és Snaith 1983) vagy a BDI (</w:t>
      </w:r>
      <w:r w:rsidRPr="00F63A78">
        <w:rPr>
          <w:lang w:val="en-US"/>
        </w:rPr>
        <w:t>Beck Depression Inventory</w:t>
      </w:r>
      <w:r>
        <w:rPr>
          <w:lang w:val="en-US"/>
        </w:rPr>
        <w:t>:</w:t>
      </w:r>
      <w:r w:rsidRPr="009A2879">
        <w:t xml:space="preserve"> Jackson-Koku és mtsai 2016). Az</w:t>
      </w:r>
      <w:r>
        <w:t xml:space="preserve"> </w:t>
      </w:r>
      <w:r w:rsidRPr="009A2879">
        <w:t>irodalom (Jones és mtsai 1992) rámutat, hogy bár az SGRQ a betegségspecifikus életminőséget méri, annak affektív komponensei – mint a kontrollvesztés, a pánik és a társadalmi izoláció – közvetlenül a betegek megélése szerint</w:t>
      </w:r>
      <w:r>
        <w:t>i</w:t>
      </w:r>
      <w:r w:rsidRPr="009A2879">
        <w:t xml:space="preserve"> hangulati állapotot (</w:t>
      </w:r>
      <w:r w:rsidRPr="00F63A78">
        <w:rPr>
          <w:lang w:val="en-US"/>
        </w:rPr>
        <w:t xml:space="preserve">affective </w:t>
      </w:r>
      <w:r w:rsidRPr="009A2879">
        <w:t>status) tükrözik.</w:t>
      </w:r>
    </w:p>
    <w:p w14:paraId="7816EF1E" w14:textId="77777777" w:rsidR="00495C1D" w:rsidRPr="009A2879" w:rsidRDefault="00495C1D" w:rsidP="00495C1D">
      <w:pPr>
        <w:spacing w:line="312" w:lineRule="auto"/>
      </w:pPr>
      <w:r w:rsidRPr="009A2879">
        <w:t>A nemzetközi irodalomban a COPD-vel összefüggő érzelmi nehézségeket gyakran a „</w:t>
      </w:r>
      <w:r w:rsidRPr="00F63A78">
        <w:rPr>
          <w:lang w:val="en-US"/>
        </w:rPr>
        <w:t>mood disorders</w:t>
      </w:r>
      <w:r w:rsidRPr="009A2879">
        <w:t>” vagy „</w:t>
      </w:r>
      <w:r w:rsidRPr="00F63A78">
        <w:rPr>
          <w:lang w:val="en-US"/>
        </w:rPr>
        <w:t>mood state</w:t>
      </w:r>
      <w:r w:rsidRPr="009A2879">
        <w:t>” gyűjtőfogalom alatt tárgyalják akkor is, ha a mérőeszköz egy életminőség-kérdőív. A „hangulati élet” kifejezés használatával a célom az volt, hogy a beteg szubjektív érzelmi jóllét</w:t>
      </w:r>
      <w:r>
        <w:t>e</w:t>
      </w:r>
      <w:r w:rsidRPr="009A2879">
        <w:t xml:space="preserve"> – </w:t>
      </w:r>
      <w:r>
        <w:t>melyet</w:t>
      </w:r>
      <w:r w:rsidRPr="009A2879">
        <w:t xml:space="preserve"> a nehézlégzés és a fizikai korlátozottság </w:t>
      </w:r>
      <w:r>
        <w:t>befolyásol</w:t>
      </w:r>
      <w:r w:rsidRPr="009A2879">
        <w:t xml:space="preserve"> –</w:t>
      </w:r>
      <w:r>
        <w:t xml:space="preserve"> </w:t>
      </w:r>
      <w:r w:rsidRPr="009A2879">
        <w:t>közérthető</w:t>
      </w:r>
      <w:r>
        <w:t>en</w:t>
      </w:r>
      <w:r w:rsidRPr="009A2879">
        <w:t>, mégis a pszich</w:t>
      </w:r>
      <w:r>
        <w:t>és</w:t>
      </w:r>
      <w:r w:rsidRPr="009A2879">
        <w:t xml:space="preserve"> érintettséget hangsúlyozó keretben kerüljön tárgyalásra. A disszertációban a „hangulat” kifejezés használata reflektál arra a klinikai jelenségre</w:t>
      </w:r>
      <w:r>
        <w:t>,</w:t>
      </w:r>
      <w:r w:rsidRPr="009A2879">
        <w:t xml:space="preserve"> mely szerint a páciens számára a </w:t>
      </w:r>
      <w:r>
        <w:t>„</w:t>
      </w:r>
      <w:r w:rsidRPr="009A2879">
        <w:t>distressz</w:t>
      </w:r>
      <w:r>
        <w:t>”</w:t>
      </w:r>
      <w:r w:rsidRPr="009A2879">
        <w:t xml:space="preserve"> nem egy a mindennapi hangulat</w:t>
      </w:r>
      <w:r>
        <w:t>o</w:t>
      </w:r>
      <w:r w:rsidRPr="009A2879">
        <w:t>t, életkedv</w:t>
      </w:r>
      <w:r>
        <w:t>e</w:t>
      </w:r>
      <w:r w:rsidRPr="009A2879">
        <w:t>t és emocionális reaktivitást meghatározó tényező.</w:t>
      </w:r>
    </w:p>
    <w:p w14:paraId="22E048A9" w14:textId="77777777" w:rsidR="00495C1D" w:rsidRPr="009A2879" w:rsidRDefault="00495C1D" w:rsidP="00495C1D">
      <w:pPr>
        <w:spacing w:line="312" w:lineRule="auto"/>
      </w:pPr>
      <w:r w:rsidRPr="009A2879">
        <w:t>Visszatekintve elfogad</w:t>
      </w:r>
      <w:r>
        <w:t>om</w:t>
      </w:r>
      <w:r w:rsidRPr="009A2879">
        <w:t>, hogy a „pszichológiai distressz” terminológia precízebb leírása lenne annak, amit az SGRQ Impact skálája mér. Azonban a „hangulat” és „hangulatzavar” kifejezések használatával a betegség okozta emocionális te</w:t>
      </w:r>
      <w:r>
        <w:t>rhe</w:t>
      </w:r>
      <w:r w:rsidRPr="009A2879">
        <w:t>t kívántam hangsúlyozni, am</w:t>
      </w:r>
      <w:r>
        <w:t>i –</w:t>
      </w:r>
      <w:r w:rsidRPr="009A2879">
        <w:t xml:space="preserve"> a diszkusszióban is jelzett módon</w:t>
      </w:r>
      <w:r>
        <w:t xml:space="preserve"> –</w:t>
      </w:r>
      <w:r w:rsidRPr="009A2879">
        <w:t xml:space="preserve"> gyakran átlépi a szubklinikai distressz határát és </w:t>
      </w:r>
      <w:r>
        <w:t xml:space="preserve">a </w:t>
      </w:r>
      <w:r w:rsidRPr="009A2879">
        <w:t>valódi affektív zavarok irányába mutat.</w:t>
      </w:r>
    </w:p>
    <w:p w14:paraId="1150517E" w14:textId="77777777" w:rsidR="00495C1D" w:rsidRPr="009A2879" w:rsidRDefault="00495C1D" w:rsidP="00495C1D">
      <w:pPr>
        <w:spacing w:line="312" w:lineRule="auto"/>
      </w:pPr>
      <w:r w:rsidRPr="009A2879">
        <w:t>A módszertani fejezetben bemutatott eszköz alkalmazása és eredményei az értekezés törzsszövegéből kimaradtak.</w:t>
      </w:r>
    </w:p>
    <w:p w14:paraId="5152F6EF" w14:textId="77777777" w:rsidR="00495C1D" w:rsidRPr="009A2879" w:rsidRDefault="00495C1D" w:rsidP="00495C1D">
      <w:pPr>
        <w:spacing w:line="312" w:lineRule="auto"/>
      </w:pPr>
    </w:p>
    <w:p w14:paraId="76D81672" w14:textId="77777777" w:rsidR="00495C1D" w:rsidRPr="00DD4924" w:rsidRDefault="00495C1D" w:rsidP="00495C1D">
      <w:pPr>
        <w:spacing w:line="312" w:lineRule="auto"/>
      </w:pPr>
      <w:r w:rsidRPr="009A2879">
        <w:rPr>
          <w:b/>
          <w:bCs/>
        </w:rPr>
        <w:t>7. kérdés:</w:t>
      </w:r>
      <w:r w:rsidRPr="00DD4924">
        <w:t xml:space="preserve"> Arra vannak-e adatok a szakirodalomban, hogy szisztémás BDNF-szint mérésnél mennyi származhat a perifériáról, azaz a thrombocytákból, pulmonális simaizom és epithel sejtekből, a tüdő perifériás idegvégződéseiből és egyéb esetleges forrásokból?</w:t>
      </w:r>
    </w:p>
    <w:p w14:paraId="5AE21BA2" w14:textId="77777777" w:rsidR="00495C1D" w:rsidRDefault="00495C1D" w:rsidP="00495C1D">
      <w:pPr>
        <w:spacing w:line="312" w:lineRule="auto"/>
      </w:pPr>
    </w:p>
    <w:p w14:paraId="2F4AF862" w14:textId="77777777" w:rsidR="00495C1D" w:rsidRPr="00DD4924" w:rsidRDefault="00495C1D" w:rsidP="00495C1D">
      <w:pPr>
        <w:spacing w:line="312" w:lineRule="auto"/>
        <w:rPr>
          <w:b/>
          <w:bCs/>
        </w:rPr>
      </w:pPr>
      <w:r w:rsidRPr="00DD4924">
        <w:rPr>
          <w:b/>
          <w:bCs/>
        </w:rPr>
        <w:t>Válasz:</w:t>
      </w:r>
    </w:p>
    <w:p w14:paraId="6A279BF8" w14:textId="77777777" w:rsidR="00495C1D" w:rsidRPr="009A2879" w:rsidRDefault="00495C1D" w:rsidP="00495C1D">
      <w:pPr>
        <w:spacing w:line="312" w:lineRule="auto"/>
      </w:pPr>
      <w:r w:rsidRPr="009A2879">
        <w:t>Szisztémás BDNF</w:t>
      </w:r>
      <w:r>
        <w:t>-</w:t>
      </w:r>
      <w:r w:rsidRPr="009A2879">
        <w:t>szint meghatározása során kimutatták, hogy a BDNF szintje mintegy 100-szoros eltérést mutat annak függvényében, hogy plazmából vagy szérumból történik</w:t>
      </w:r>
      <w:r>
        <w:t>-e</w:t>
      </w:r>
      <w:r w:rsidRPr="009A2879">
        <w:t xml:space="preserve">, a véralvadás során ugyanis a thrombocyták degranulálódnak és a mintába nagyobb mennyiségű BDNF kerül. </w:t>
      </w:r>
    </w:p>
    <w:p w14:paraId="0C97672B" w14:textId="77777777" w:rsidR="00495C1D" w:rsidRPr="009A2879" w:rsidRDefault="00495C1D" w:rsidP="00495C1D">
      <w:pPr>
        <w:spacing w:line="312" w:lineRule="auto"/>
      </w:pPr>
      <w:r w:rsidRPr="009A2879">
        <w:lastRenderedPageBreak/>
        <w:t xml:space="preserve">Fujimura és mtsai kimutatták, hogy a humán szérum BDNF-koncentrációja sokkal magasabb, mint a plazmáé, </w:t>
      </w:r>
      <w:r>
        <w:t>mivel</w:t>
      </w:r>
      <w:r w:rsidRPr="009A2879">
        <w:t xml:space="preserve"> a vérlemezkék a keringő BDNF rezervoárjaként szolgálhatnak. Vizsgálatukban a humán vér BDNF-tartalmát 20,0 ± 14,8 ng/4x10</w:t>
      </w:r>
      <w:r w:rsidRPr="009A2879">
        <w:rPr>
          <w:vertAlign w:val="superscript"/>
        </w:rPr>
        <w:t>8</w:t>
      </w:r>
      <w:r w:rsidRPr="009A2879">
        <w:t xml:space="preserve"> vérlemezkének mérték, ami azonos nagyságrendű a mosott vérlemezke-lizátumokból kapott 25,2 ± 21,2 ng/4x10</w:t>
      </w:r>
      <w:r w:rsidRPr="009A2879">
        <w:rPr>
          <w:vertAlign w:val="superscript"/>
        </w:rPr>
        <w:t>8</w:t>
      </w:r>
      <w:r w:rsidRPr="009A2879">
        <w:t xml:space="preserve"> vérlemezke értékkel. Következtetésük szerint a vérben keringő BDNF nagy része </w:t>
      </w:r>
      <w:r>
        <w:t>(</w:t>
      </w:r>
      <w:r w:rsidRPr="009A2879">
        <w:t xml:space="preserve">vagy </w:t>
      </w:r>
      <w:r>
        <w:t xml:space="preserve">szinte az </w:t>
      </w:r>
      <w:r w:rsidRPr="009A2879">
        <w:t>egésze</w:t>
      </w:r>
      <w:r>
        <w:t>)</w:t>
      </w:r>
      <w:r w:rsidRPr="009A2879">
        <w:t xml:space="preserve"> a vérlemezkékben található. Kimutatták továbbá, hogy az agonista által kiváltott BDNF felszabadulás a vérlemezkékből egyértelműen összefüggött a vérlemezke-aktiváció klasszikus útvonalával, nagyon gyors volt, </w:t>
      </w:r>
      <w:r>
        <w:t>a</w:t>
      </w:r>
      <w:r w:rsidRPr="009A2879">
        <w:t xml:space="preserve"> mértéke </w:t>
      </w:r>
      <w:r>
        <w:t xml:space="preserve">pedig az </w:t>
      </w:r>
      <w:r w:rsidRPr="009A2879">
        <w:t>alkalmazott agonista hatékonyságától függött (Fujimura és mtsai 2002)</w:t>
      </w:r>
      <w:r>
        <w:t>.</w:t>
      </w:r>
      <w:r w:rsidRPr="009A2879">
        <w:t xml:space="preserve"> A vérlemezkében tárolt BDNF nem kizárólag a megakaryocytákból származik, hanem a plazmából</w:t>
      </w:r>
      <w:r>
        <w:t xml:space="preserve"> és</w:t>
      </w:r>
      <w:r w:rsidRPr="009A2879">
        <w:t xml:space="preserve"> más szöveti kompartmentumokból is felvételre kerül (Delle’Oste és mtsai 2020). </w:t>
      </w:r>
    </w:p>
    <w:p w14:paraId="275D8994" w14:textId="77777777" w:rsidR="00495C1D" w:rsidRPr="009A2879" w:rsidRDefault="00495C1D" w:rsidP="00495C1D">
      <w:pPr>
        <w:spacing w:line="312" w:lineRule="auto"/>
      </w:pPr>
      <w:r w:rsidRPr="009A2879">
        <w:t>Rasmussen és mtsai egy elegáns kísérletben igazolták, hogy a kering</w:t>
      </w:r>
      <w:r>
        <w:t>ő vérplazmába</w:t>
      </w:r>
      <w:r w:rsidRPr="009A2879">
        <w:t xml:space="preserve"> jutó BDNF </w:t>
      </w:r>
      <w:r>
        <w:t xml:space="preserve">fő </w:t>
      </w:r>
      <w:r w:rsidRPr="009A2879">
        <w:t>forrása a központi idegrendszer. Vizsgálatukban nyolc egészséges önkéntes végzett fizikai munkát 4 órán keresztül (evezőpadon), mely során a v. radialis és a v. jugulárisból vettek vért. Megállapították, hogy mind nyugalomban, mind a fizikai aktivitás során a szisztémás keringésben kimutatható BDNF 70-80%-a a központi idegrendszerből származik. A humán vizsgálattal párhuzamosan egereken is elvégezték a méréseket, és azt találták, hogy a fizikai aktivitás során emelkedett a BDNF</w:t>
      </w:r>
      <w:r>
        <w:t>-</w:t>
      </w:r>
      <w:r w:rsidRPr="009A2879">
        <w:t>szint, melyet a hippocampus és a cortex BDNF mRNS expressziója is kísért. A szerzők ez alapján arra a következtetésre jutottak, hogy az agy jelentős</w:t>
      </w:r>
      <w:r>
        <w:t>,</w:t>
      </w:r>
      <w:r w:rsidRPr="009A2879">
        <w:t xml:space="preserve"> </w:t>
      </w:r>
      <w:r>
        <w:t>noha</w:t>
      </w:r>
      <w:r w:rsidRPr="009A2879">
        <w:t xml:space="preserve"> nem kizárólagos forrása a keringésben levő BDNF-nek (Rasmussen és mtsai 2009). A BDNF további forrása lehet a vascularis endothelium, a simaizom</w:t>
      </w:r>
      <w:r>
        <w:t>zat</w:t>
      </w:r>
      <w:r w:rsidRPr="009A2879">
        <w:t xml:space="preserve">, az aktivált macrophagok </w:t>
      </w:r>
      <w:r>
        <w:t>és</w:t>
      </w:r>
      <w:r w:rsidRPr="009A2879">
        <w:t xml:space="preserve"> a lymphocyták. Vizsgálataink szempontjából kiemelendő a légutak BDNF termelő kapacitása, ami asthma bronchiale illetve COPD esetén módosulhat. A BDNF expresszióját leírták a bronchiális epitheliumban, a lég</w:t>
      </w:r>
      <w:r>
        <w:t>ú</w:t>
      </w:r>
      <w:r w:rsidRPr="009A2879">
        <w:t>ti simaizomsejtekben, a perifériás idegvégződésben, a fibroblastokban és a tüdőerek endotheliumában is (Prakash és mtsai 2010). Fiziológiásan a légutakban a BDNF expressziója</w:t>
      </w:r>
      <w:r>
        <w:t xml:space="preserve"> és</w:t>
      </w:r>
      <w:r w:rsidRPr="009A2879">
        <w:t xml:space="preserve"> felszabadulása Ca-dependens folyamat, melyet a BDNF autokrin pozitív feedback hatása légúti gyulladásos megbetegedésekben tovább fokoz. Aravamudan és mtsai (2016) kimutatták, hogy asthma bronchialeban a simaizomsejtek </w:t>
      </w:r>
      <w:r>
        <w:t>jelentős</w:t>
      </w:r>
      <w:r w:rsidRPr="009A2879">
        <w:t xml:space="preserve"> mennyiségű BDNF-et szekretálnak gyulladásos triggerek jelenlétében is, </w:t>
      </w:r>
      <w:r>
        <w:t xml:space="preserve">ami </w:t>
      </w:r>
      <w:r w:rsidRPr="009A2879">
        <w:t>felvet</w:t>
      </w:r>
      <w:r>
        <w:t>i</w:t>
      </w:r>
      <w:r w:rsidRPr="009A2879">
        <w:t>, hogy az endogén BDNF termelés hozzájárul a sejtek gyulladásos mediátorok iránti fokozott válaszkészségéhez (Aravamudan és mtsai 2016). Vizsgálatukat tüdőműtéten átesett betegek mintá</w:t>
      </w:r>
      <w:r>
        <w:t>iból származó</w:t>
      </w:r>
      <w:r w:rsidRPr="00F950D8">
        <w:t xml:space="preserve"> </w:t>
      </w:r>
      <w:r w:rsidRPr="009A2879">
        <w:t>harmad-hatodrendű bronchusok simaizomsejtj</w:t>
      </w:r>
      <w:r>
        <w:t>ei</w:t>
      </w:r>
      <w:r w:rsidRPr="009A2879">
        <w:t xml:space="preserve"> végezték. A minták asthma bronchiale</w:t>
      </w:r>
      <w:r>
        <w:t>-</w:t>
      </w:r>
      <w:r w:rsidRPr="009A2879">
        <w:t>ban szenvedő és e tekintetben egészséges egyénekből származtak.</w:t>
      </w:r>
    </w:p>
    <w:p w14:paraId="4A73CC01" w14:textId="77777777" w:rsidR="00495C1D" w:rsidRDefault="00495C1D" w:rsidP="00495C1D">
      <w:pPr>
        <w:spacing w:line="312" w:lineRule="auto"/>
      </w:pPr>
      <w:r w:rsidRPr="009A2879">
        <w:t xml:space="preserve">Végezetül érdekes kérdés, hogy a keringésben kimutatható BDNF mennyiben tekinthető biomarkernek egyes központi idegrendszeri kórképek esetén. Ez annak függvénye, hogy a keringésben levő BDNF mennyire korrelál a BDNF központi idegrendszeri szintjével. Ezzel kapcsolatosan Klein és munkatársai (2011) három emlős fajban (egérben, patkányban és </w:t>
      </w:r>
      <w:r w:rsidRPr="009A2879">
        <w:lastRenderedPageBreak/>
        <w:t>disznóban) végzett vizsgálata azt mutatta ki, hogy a keringő BDNF szint</w:t>
      </w:r>
      <w:r>
        <w:t>je</w:t>
      </w:r>
      <w:r w:rsidRPr="009A2879">
        <w:t xml:space="preserve"> korrelál a hippocamp</w:t>
      </w:r>
      <w:r>
        <w:t>alis</w:t>
      </w:r>
      <w:r w:rsidRPr="009A2879">
        <w:t xml:space="preserve"> BDNF szinttel, egérben ezen felül a prefrontális kortexben mért szinttel is.</w:t>
      </w:r>
    </w:p>
    <w:p w14:paraId="57662904" w14:textId="77777777" w:rsidR="00495C1D" w:rsidRPr="009A2879" w:rsidRDefault="00495C1D" w:rsidP="00495C1D">
      <w:pPr>
        <w:spacing w:line="312" w:lineRule="auto"/>
      </w:pPr>
    </w:p>
    <w:p w14:paraId="05405274" w14:textId="77777777" w:rsidR="00495C1D" w:rsidRPr="00E67A31" w:rsidRDefault="00495C1D" w:rsidP="00495C1D">
      <w:pPr>
        <w:spacing w:line="312" w:lineRule="auto"/>
      </w:pPr>
      <w:r w:rsidRPr="009A2879">
        <w:rPr>
          <w:b/>
          <w:bCs/>
        </w:rPr>
        <w:t>8. kérdés:</w:t>
      </w:r>
      <w:r w:rsidRPr="00E67A31">
        <w:t xml:space="preserve"> A katekol-O-metiltranszferáz aminosav cseréhez (Val158Met) vezető egypontos nukleotid variáció a dopamint katabolizáló enzim aktivitásában jelentős változásokat okoz, következésképpen a dopamin mennyisége több vagy kevesebb lesz a nucleus accumbensben, de a prefrontalis cortexben is; utóbbinak bizonyos kognitív funkciókban lehet szerepe. Hogyan illeszthető ezen enzimaktivitás változás a dopamin eltérő tónusos és fázisos felszabadulása egyensúlyának megbomlásához, amely rizikóvállaló, örömkereső, jelentőségtulajdonító etc. magatartás mögött meghúzódhat?</w:t>
      </w:r>
    </w:p>
    <w:p w14:paraId="0FA7D102" w14:textId="77777777" w:rsidR="00495C1D" w:rsidRDefault="00495C1D" w:rsidP="00495C1D">
      <w:pPr>
        <w:spacing w:line="312" w:lineRule="auto"/>
      </w:pPr>
    </w:p>
    <w:p w14:paraId="3409FB4A" w14:textId="77777777" w:rsidR="00495C1D" w:rsidRPr="00F02E17" w:rsidRDefault="00495C1D" w:rsidP="00495C1D">
      <w:pPr>
        <w:spacing w:line="312" w:lineRule="auto"/>
        <w:rPr>
          <w:b/>
          <w:bCs/>
        </w:rPr>
      </w:pPr>
      <w:r w:rsidRPr="00F02E17">
        <w:rPr>
          <w:b/>
          <w:bCs/>
        </w:rPr>
        <w:t>Válasz:</w:t>
      </w:r>
    </w:p>
    <w:p w14:paraId="7DFA1D3F" w14:textId="77777777" w:rsidR="00495C1D" w:rsidRPr="009A2879" w:rsidRDefault="00495C1D" w:rsidP="00495C1D">
      <w:pPr>
        <w:spacing w:line="312" w:lineRule="auto"/>
      </w:pPr>
      <w:r w:rsidRPr="009A2879">
        <w:t xml:space="preserve">A dopaminerg neuronok tónusos és fázisos működésével kapcsolatos hipotézist Grace és munkatársai (1991) dolgozták ki. Elméletük </w:t>
      </w:r>
      <w:r>
        <w:t>szerint</w:t>
      </w:r>
      <w:r w:rsidRPr="009A2879">
        <w:t xml:space="preserve"> a limbikus rendszer dopaminerg neuronjaiból </w:t>
      </w:r>
      <w:r>
        <w:t xml:space="preserve">a </w:t>
      </w:r>
      <w:r w:rsidRPr="009A2879">
        <w:t>dopamin felszabadul</w:t>
      </w:r>
      <w:r>
        <w:t>ása történhet</w:t>
      </w:r>
      <w:r w:rsidRPr="009A2879">
        <w:t xml:space="preserve"> fázisosan</w:t>
      </w:r>
      <w:r>
        <w:t xml:space="preserve"> (vagyis</w:t>
      </w:r>
      <w:r w:rsidRPr="009A2879">
        <w:t xml:space="preserve"> </w:t>
      </w:r>
      <w:r>
        <w:t xml:space="preserve">epizódikusan, </w:t>
      </w:r>
      <w:r w:rsidRPr="009A2879">
        <w:t>gyors</w:t>
      </w:r>
      <w:r>
        <w:t>an</w:t>
      </w:r>
      <w:r w:rsidRPr="009A2879">
        <w:t xml:space="preserve"> </w:t>
      </w:r>
      <w:r>
        <w:t xml:space="preserve">és </w:t>
      </w:r>
      <w:r w:rsidRPr="009A2879">
        <w:t>nagy mennyiség</w:t>
      </w:r>
      <w:r>
        <w:t>ben)</w:t>
      </w:r>
      <w:r w:rsidRPr="009A2879">
        <w:t xml:space="preserve"> </w:t>
      </w:r>
      <w:r>
        <w:t>és</w:t>
      </w:r>
      <w:r w:rsidRPr="009A2879">
        <w:t xml:space="preserve"> tónusos</w:t>
      </w:r>
      <w:r>
        <w:t>an</w:t>
      </w:r>
      <w:r w:rsidRPr="009A2879">
        <w:t xml:space="preserve"> </w:t>
      </w:r>
      <w:r>
        <w:t xml:space="preserve">(azaz </w:t>
      </w:r>
      <w:r w:rsidRPr="009A2879">
        <w:t>állandó</w:t>
      </w:r>
      <w:r>
        <w:t>an, de</w:t>
      </w:r>
      <w:r w:rsidRPr="009A2879">
        <w:t xml:space="preserve"> kis</w:t>
      </w:r>
      <w:r>
        <w:t xml:space="preserve"> </w:t>
      </w:r>
      <w:r w:rsidRPr="009A2879">
        <w:t>mennyiség</w:t>
      </w:r>
      <w:r>
        <w:t>ben)</w:t>
      </w:r>
      <w:r w:rsidRPr="009A2879">
        <w:t>. Ez utóbbit a dopaminerg neuronok kisülési alap</w:t>
      </w:r>
      <w:r>
        <w:t>frekvenciája</w:t>
      </w:r>
      <w:r w:rsidRPr="009A2879">
        <w:t xml:space="preserve"> és </w:t>
      </w:r>
      <w:r>
        <w:t xml:space="preserve">a </w:t>
      </w:r>
      <w:r w:rsidRPr="009A2879">
        <w:t xml:space="preserve">corticostriatalis glutamáterg afferensek </w:t>
      </w:r>
      <w:r>
        <w:t xml:space="preserve">aktivitása </w:t>
      </w:r>
      <w:r w:rsidRPr="009A2879">
        <w:t xml:space="preserve">határozzák meg. A fázisos dopamin felszabadulás </w:t>
      </w:r>
      <w:r>
        <w:t xml:space="preserve">indítja el </w:t>
      </w:r>
      <w:r w:rsidRPr="009A2879">
        <w:t xml:space="preserve">a viselkedés szempontjából releváns ingerek neuronális kimenő jelét </w:t>
      </w:r>
      <w:r>
        <w:t>(</w:t>
      </w:r>
      <w:r w:rsidRPr="009A2879">
        <w:t>a posztszinaptikus dopamin receptor</w:t>
      </w:r>
      <w:r>
        <w:t>o</w:t>
      </w:r>
      <w:r w:rsidRPr="009A2879">
        <w:t>k aktiválás</w:t>
      </w:r>
      <w:r>
        <w:t>a révén)</w:t>
      </w:r>
      <w:r w:rsidRPr="009A2879">
        <w:t xml:space="preserve">. </w:t>
      </w:r>
      <w:r>
        <w:t>E</w:t>
      </w:r>
      <w:r w:rsidRPr="009A2879">
        <w:t xml:space="preserve">zzel szemben </w:t>
      </w:r>
      <w:r>
        <w:t>a</w:t>
      </w:r>
      <w:r w:rsidRPr="009A2879">
        <w:t xml:space="preserve"> tónusos dopamin felszabadulás jelentőségét az adja, hogy befolyásolja a fázisos válasz amplitúdóját a dopaminerg neuronok végkészülékén </w:t>
      </w:r>
      <w:r>
        <w:t xml:space="preserve">(tehát preszinaptikusan) </w:t>
      </w:r>
      <w:r w:rsidRPr="009A2879">
        <w:t>található nagy szenzitivitású autoreceptorok aktiválás</w:t>
      </w:r>
      <w:r>
        <w:t>ával</w:t>
      </w:r>
      <w:r w:rsidRPr="009A2879">
        <w:t xml:space="preserve">. </w:t>
      </w:r>
    </w:p>
    <w:p w14:paraId="7F40F225" w14:textId="77777777" w:rsidR="00495C1D" w:rsidRPr="009A2879" w:rsidRDefault="00495C1D" w:rsidP="00495C1D">
      <w:pPr>
        <w:spacing w:line="312" w:lineRule="auto"/>
      </w:pPr>
      <w:r w:rsidRPr="009A2879">
        <w:t xml:space="preserve">E tekintetben fontos megemlíteni, hogy a fázisos dopamin felszabadulást követően a dopamin a szinaptikus résből gyorsan visszavételre kerül a dopamin transzporter rendszer </w:t>
      </w:r>
      <w:r>
        <w:t>révén</w:t>
      </w:r>
      <w:r w:rsidRPr="009A2879">
        <w:t xml:space="preserve">. Ezt a mechanizmust a COMT polimorfizmusa nem befolyásolja, hiszen </w:t>
      </w:r>
      <w:r>
        <w:t xml:space="preserve">ez </w:t>
      </w:r>
      <w:r w:rsidRPr="009A2879">
        <w:t xml:space="preserve">az enzim nincs jelen a dopaminerg végkészülékekben. A COMT a </w:t>
      </w:r>
      <w:r>
        <w:t>már kibocsátott</w:t>
      </w:r>
      <w:r w:rsidRPr="009A2879">
        <w:t xml:space="preserve"> dopamin bontását végzi a gliában</w:t>
      </w:r>
      <w:r>
        <w:t xml:space="preserve"> és</w:t>
      </w:r>
      <w:r w:rsidRPr="009A2879">
        <w:t xml:space="preserve"> a posztszinaptikus neuronokban. </w:t>
      </w:r>
    </w:p>
    <w:p w14:paraId="799663CF" w14:textId="77777777" w:rsidR="00495C1D" w:rsidRPr="009A2879" w:rsidRDefault="00495C1D" w:rsidP="00495C1D">
      <w:pPr>
        <w:spacing w:line="312" w:lineRule="auto"/>
      </w:pPr>
      <w:r w:rsidRPr="009A2879">
        <w:t xml:space="preserve">A COMT Val158Met polimorfizmus metionin allélja esetén a COMT aktivitása </w:t>
      </w:r>
      <w:r>
        <w:t>kisebb</w:t>
      </w:r>
      <w:r w:rsidRPr="009A2879">
        <w:t xml:space="preserve">, így a </w:t>
      </w:r>
      <w:r>
        <w:t>kibocsátott</w:t>
      </w:r>
      <w:r w:rsidRPr="009A2879">
        <w:t xml:space="preserve"> dopamin</w:t>
      </w:r>
      <w:r>
        <w:t>-</w:t>
      </w:r>
      <w:r w:rsidRPr="009A2879">
        <w:t xml:space="preserve">szint magasabb lesz, mint </w:t>
      </w:r>
      <w:r>
        <w:t xml:space="preserve">ami </w:t>
      </w:r>
      <w:r w:rsidRPr="009A2879">
        <w:t xml:space="preserve">a valin allél </w:t>
      </w:r>
      <w:r>
        <w:t>esetén</w:t>
      </w:r>
      <w:r w:rsidRPr="009A2879">
        <w:t xml:space="preserve"> expresszálódó</w:t>
      </w:r>
      <w:r>
        <w:t>,</w:t>
      </w:r>
      <w:r w:rsidRPr="009A2879">
        <w:t xml:space="preserve"> </w:t>
      </w:r>
      <w:r>
        <w:t>nagyobb</w:t>
      </w:r>
      <w:r w:rsidRPr="009A2879">
        <w:t xml:space="preserve"> aktivitású COMT mellett tapasztalható (Paul és mtsai 2026). </w:t>
      </w:r>
    </w:p>
    <w:p w14:paraId="197FEB78" w14:textId="77777777" w:rsidR="00495C1D" w:rsidRDefault="00495C1D" w:rsidP="00495C1D">
      <w:pPr>
        <w:spacing w:line="312" w:lineRule="auto"/>
      </w:pPr>
      <w:r w:rsidRPr="009A2879">
        <w:t xml:space="preserve">Bilder és mtsai (2004) szerint a COMT Val158Met polimorfizmus egyes alléljai az alábbiak szerint befolyásolják a neurális hálózat aktivációs állapotainak stabilitását és plaszticitását. A nagy aktivitású COMT-hoz kapcsolódó Val allél szubkortikálisan növeli a fázisos és csökkenti a tónusos dopamin transzmissziót, </w:t>
      </w:r>
      <w:r>
        <w:t>így</w:t>
      </w:r>
      <w:r w:rsidRPr="009A2879">
        <w:t xml:space="preserve"> csökkenti a kortikális dopamin koncentrációt. Ez a D2-</w:t>
      </w:r>
      <w:r>
        <w:t>jelátvitel</w:t>
      </w:r>
      <w:r w:rsidRPr="009A2879">
        <w:t xml:space="preserve"> növekedéséhez és a D1-</w:t>
      </w:r>
      <w:r>
        <w:t>jelátvitel</w:t>
      </w:r>
      <w:r w:rsidRPr="009A2879">
        <w:t xml:space="preserve"> csökkenéséhez vezet; melynek </w:t>
      </w:r>
      <w:r>
        <w:t>következtében</w:t>
      </w:r>
      <w:r w:rsidRPr="009A2879">
        <w:t xml:space="preserve"> csökken a munkamemória-reprezentációk mögött álló neurális hálózatok stabilitása</w:t>
      </w:r>
      <w:r>
        <w:t>.</w:t>
      </w:r>
      <w:r w:rsidRPr="009A2879">
        <w:t xml:space="preserve"> </w:t>
      </w:r>
      <w:r>
        <w:t xml:space="preserve">Ez azokat </w:t>
      </w:r>
      <w:r>
        <w:lastRenderedPageBreak/>
        <w:t>a hálózatokat is</w:t>
      </w:r>
      <w:r w:rsidRPr="009A2879">
        <w:t xml:space="preserve"> </w:t>
      </w:r>
      <w:r>
        <w:t>érinti</w:t>
      </w:r>
      <w:r w:rsidRPr="009A2879">
        <w:t>, amelyek a végrehajtó funkciók fenntartásáért felelősek, de elősegíti</w:t>
      </w:r>
      <w:r>
        <w:t>k</w:t>
      </w:r>
      <w:r w:rsidRPr="009A2879">
        <w:t xml:space="preserve"> a váltást olyan alternatív állapotokba, amelyek </w:t>
      </w:r>
      <w:r>
        <w:t xml:space="preserve">a </w:t>
      </w:r>
      <w:r w:rsidRPr="009A2879">
        <w:t>rugalmas viselkedést</w:t>
      </w:r>
      <w:r w:rsidRPr="00F46879">
        <w:t xml:space="preserve"> </w:t>
      </w:r>
      <w:r w:rsidRPr="009A2879">
        <w:t xml:space="preserve">közvetítik. Ezzel szemben az alacsony aktivitású COMT-tal társuló Met allél szubkortikálisan csökkenti a fázisos és növeli a tónusos dopamin transzmissziót, </w:t>
      </w:r>
      <w:r>
        <w:t>ezzel</w:t>
      </w:r>
      <w:r w:rsidRPr="009A2879">
        <w:t xml:space="preserve"> kéregszinten növeli a dopamin koncentrációt, </w:t>
      </w:r>
      <w:r>
        <w:t xml:space="preserve">ami </w:t>
      </w:r>
      <w:r w:rsidRPr="009A2879">
        <w:t>a prefrontális kortexben fokozott D1- és csökkent D2-</w:t>
      </w:r>
      <w:r>
        <w:t>jelátvitelhez</w:t>
      </w:r>
      <w:r w:rsidRPr="009A2879">
        <w:t xml:space="preserve"> vezet. Ez növeli a tartós munkamemória-reprezentációkat közvetítő hálózatok stabilitását, de visszafogja a tartós munkamemória-reprezentációkat vagy a folyamatban lévő viselkedési programokat reprezentáló, aktív hálózatok váltását vagy frissítését.</w:t>
      </w:r>
    </w:p>
    <w:p w14:paraId="5B792A64" w14:textId="77777777" w:rsidR="00495C1D" w:rsidRDefault="00495C1D" w:rsidP="00495C1D">
      <w:pPr>
        <w:spacing w:line="312" w:lineRule="auto"/>
      </w:pPr>
    </w:p>
    <w:p w14:paraId="525C2953" w14:textId="77777777" w:rsidR="00495C1D" w:rsidRDefault="00495C1D" w:rsidP="00495C1D">
      <w:pPr>
        <w:spacing w:line="312" w:lineRule="auto"/>
      </w:pPr>
      <w:r>
        <w:t>Még egyszer köszönöm az alapos, pozitív és jó hangulatú bírálatot. Válaszaim elfogadásában bízva, tisztelettel:</w:t>
      </w:r>
    </w:p>
    <w:p w14:paraId="34AA3DAE" w14:textId="77777777" w:rsidR="00495C1D" w:rsidRDefault="00495C1D" w:rsidP="00495C1D">
      <w:pPr>
        <w:spacing w:line="312" w:lineRule="auto"/>
      </w:pPr>
    </w:p>
    <w:p w14:paraId="020CFE9A" w14:textId="77777777" w:rsidR="00495C1D" w:rsidRDefault="00495C1D" w:rsidP="00495C1D">
      <w:pPr>
        <w:spacing w:line="312" w:lineRule="auto"/>
      </w:pPr>
      <w:r>
        <w:t>Debrecen, 2026. április 2.</w:t>
      </w:r>
    </w:p>
    <w:p w14:paraId="47900AE0" w14:textId="77777777" w:rsidR="00495C1D" w:rsidRDefault="00495C1D" w:rsidP="00495C1D">
      <w:pPr>
        <w:spacing w:line="312" w:lineRule="auto"/>
      </w:pPr>
    </w:p>
    <w:p w14:paraId="7BFDFE4D" w14:textId="77777777" w:rsidR="00495C1D" w:rsidRDefault="00495C1D" w:rsidP="00495C1D">
      <w:pPr>
        <w:spacing w:after="60" w:line="312" w:lineRule="auto"/>
        <w:ind w:right="850"/>
        <w:jc w:val="right"/>
      </w:pPr>
      <w:r>
        <w:t>Dr. Zsuga Judit</w:t>
      </w:r>
    </w:p>
    <w:p w14:paraId="5A11D964" w14:textId="77777777" w:rsidR="00495C1D" w:rsidRDefault="00495C1D" w:rsidP="00495C1D">
      <w:pPr>
        <w:spacing w:after="0" w:line="312" w:lineRule="auto"/>
        <w:ind w:right="567"/>
        <w:jc w:val="right"/>
      </w:pPr>
      <w:r>
        <w:t>Debreceni Egyetem</w:t>
      </w:r>
    </w:p>
    <w:p w14:paraId="79CDB042" w14:textId="77777777" w:rsidR="00495C1D" w:rsidRDefault="00495C1D" w:rsidP="00495C1D">
      <w:pPr>
        <w:spacing w:after="0" w:line="312" w:lineRule="auto"/>
        <w:jc w:val="right"/>
      </w:pPr>
      <w:r>
        <w:t>Általános Orvostudományi Kar</w:t>
      </w:r>
    </w:p>
    <w:p w14:paraId="62EFD97F" w14:textId="77777777" w:rsidR="00495C1D" w:rsidRDefault="00495C1D" w:rsidP="00495C1D">
      <w:pPr>
        <w:spacing w:line="312" w:lineRule="auto"/>
        <w:ind w:right="567"/>
        <w:jc w:val="right"/>
      </w:pPr>
      <w:r>
        <w:t>Pszichiátria Tanszék</w:t>
      </w:r>
    </w:p>
    <w:p w14:paraId="2677D15A" w14:textId="77777777" w:rsidR="00495C1D" w:rsidRDefault="00495C1D" w:rsidP="00495C1D">
      <w:pPr>
        <w:spacing w:line="312" w:lineRule="auto"/>
      </w:pPr>
    </w:p>
    <w:p w14:paraId="5DA738F8" w14:textId="77777777" w:rsidR="00495C1D" w:rsidRPr="00187862" w:rsidRDefault="00495C1D" w:rsidP="00495C1D">
      <w:pPr>
        <w:spacing w:line="312" w:lineRule="auto"/>
        <w:rPr>
          <w:b/>
          <w:bCs/>
        </w:rPr>
      </w:pPr>
      <w:r w:rsidRPr="00187862">
        <w:rPr>
          <w:b/>
          <w:bCs/>
        </w:rPr>
        <w:t>Hivatkozások:</w:t>
      </w:r>
    </w:p>
    <w:p w14:paraId="734162AC" w14:textId="77777777" w:rsidR="00495C1D" w:rsidRPr="00005281" w:rsidRDefault="00495C1D" w:rsidP="00495C1D">
      <w:pPr>
        <w:spacing w:line="312" w:lineRule="auto"/>
        <w:ind w:firstLine="284"/>
        <w:rPr>
          <w:b/>
          <w:bCs/>
        </w:rPr>
      </w:pPr>
      <w:r w:rsidRPr="00005281">
        <w:rPr>
          <w:b/>
          <w:bCs/>
        </w:rPr>
        <w:t>2. kérdés</w:t>
      </w:r>
    </w:p>
    <w:p w14:paraId="2E7365DC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Bernaudin, M., Nedelec, A. S., Divoux, D., MacKenzie, E. T., Petit, E., &amp; Schumann-Bard, P. (2002). Normobaric hypoxia induces tolerance to focal permanent cerebral ischemia in association with an increased expression of hypoxia-inducible factor-1 and its target genes, erythropoietin and VEGF, in the adult mouse brain. Journal of Cerebral Blood Flow &amp; Metabolism, 22(4), 393-403.</w:t>
      </w:r>
    </w:p>
    <w:p w14:paraId="1C1768B0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Carloni, S., Buonocore, G., &amp; Balduini, W. (2008). Protective role of autophagy in neonatal hypoxia–ischemia induced brain injury. Neurobiology of disease, 32(3), 329-339.</w:t>
      </w:r>
    </w:p>
    <w:p w14:paraId="4917F184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Centeno, J. M., Orti, M., Salom, J. B., Sick, T. J., &amp; Pérez-Pinzón, M. A. (1999). Nitric oxide is involved in anoxic preconditioning neuroprotection in rat hippocampal slices. Brain research, 836(1-2), 62-69.</w:t>
      </w:r>
    </w:p>
    <w:p w14:paraId="36993D08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 xml:space="preserve">Geng, J., Zhang, Y., Li, S., Li, S., Wang, J., Wang, H., ... &amp; Wang, G. (2018). Metabolomic profiling reveals that reprogramming of cerebral glucose metabolism is involved in ischemic </w:t>
      </w:r>
      <w:r w:rsidRPr="009A2879">
        <w:rPr>
          <w:lang w:val="en-US"/>
        </w:rPr>
        <w:lastRenderedPageBreak/>
        <w:t>preconditioning-induced neuroprotection in a rodent model of ischemic stroke. Journal of proteome research, 18(1), 57-68.</w:t>
      </w:r>
    </w:p>
    <w:p w14:paraId="2FC71AD9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Giusti, S., &amp; Fiszer de Plazas, S. (2012). Neuroprotection by hypoxic preconditioning involves upregulation of hypoxia‐inducible factor‐1 in a prenatal model of acute hypoxia. Journal of Neuroscience Research, 90(2), 468-478.</w:t>
      </w:r>
    </w:p>
    <w:p w14:paraId="045DC07E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Parsons, M. W., Barber, P. A., Desmond, P. M., Baird, T. A., Darby, D. G., Byrnes, G., ... &amp; Davis, S. M. (2002). Acute hyperglycemia adversely affects stroke outcome: a magnetic resonance imaging and spectroscopy study. Annals of Neurology: Official Journal of the American Neurological Association and the Child Neurology Society, 52(1), 20-28.</w:t>
      </w:r>
    </w:p>
    <w:p w14:paraId="1BAE4418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Scorziello, A., Santillo, M., Adornetto, A., Dell’Aversano, C., Sirabella, R., Damiano, S. A., ... &amp; Annunziato, L. (2007). NO‐induced neuroprotection in ischemic preconditioning stimulates mitochondrial Mn‐SOD activity and expression via RAS/ERK1/2 pathway. Journal of neurochemistry, 103(4), 1472-1480.</w:t>
      </w:r>
    </w:p>
    <w:p w14:paraId="0777078B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Soriano, F. X., Papadia, S., Hofmann, F., Hardingham, N. R., Bading, H., &amp; Hardingham, G. E. (2006). Preconditioning doses of NMDA promote neuroprotection by enhancing neuronal excitability. Journal of Neuroscience, 26(17), 4509-4518.</w:t>
      </w:r>
    </w:p>
    <w:p w14:paraId="7C690329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Stenzel-Poore, M. P., Stevens, S. L., Xiong, Z., Lessov, N. S., Harrington, C. A., Mori, M., ... &amp; Simon, R. P. (2003). Effect of ischaemic preconditioning on genomic response to cerebral ischaemia: similarity to neuroprotective strategies in hibernation and hypoxia-tolerant states. The Lancet, 362(9389), 1028-1037.</w:t>
      </w:r>
    </w:p>
    <w:p w14:paraId="63AB276A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Suh, S. W., Gum, E. T., Hamby, A. M., Chan, P. H., &amp; Swanson, R. A. (2007). Hypoglycemic neuronal death is triggered by glucose reperfusion and activation of neuronal NADPH oxidase. The Journal of clinical investigation, 117(4), 910-918.</w:t>
      </w:r>
    </w:p>
    <w:p w14:paraId="38140086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Xia, D. Y., Li, W., Qian, H. R., Yao, S., Liu, J. G., &amp; Qi, X. K. (2013). Ischemia preconditioning is neuroprotective in a rat cerebral ischemic injury model through autophagy activation and apoptosis inhibition. Brazilian Journal of Medical and Biological Research, 46(7), 580-588.</w:t>
      </w:r>
    </w:p>
    <w:p w14:paraId="7264E78C" w14:textId="77777777" w:rsidR="00495C1D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Zhang, F. Y., Chen, X. C., Ren, H. M., &amp; Bao, W. M. (2006). Effects of ischemic preconditioning on blood–brain barrier permeability and MMP-9 expression of ischemic brain. Neurological research, 28(1), 21-24.</w:t>
      </w:r>
    </w:p>
    <w:p w14:paraId="2413E205" w14:textId="77777777" w:rsidR="00495C1D" w:rsidRDefault="00495C1D" w:rsidP="00495C1D">
      <w:pPr>
        <w:spacing w:line="312" w:lineRule="auto"/>
        <w:rPr>
          <w:lang w:val="en-US"/>
        </w:rPr>
      </w:pPr>
      <w:r w:rsidRPr="00265030">
        <w:rPr>
          <w:lang w:val="en-US"/>
        </w:rPr>
        <w:t>Zhang, M., Gong, J. X., Wang, J. L., Jiang, M. Y., Li, L., Hu, Y. Y., ... &amp; Li, W. B. (2017). p38 MAPK participates in the mediation of GLT-1 up-regulation during the induction of brain ischemic tolerance by cerebral ischemic preconditioning. Molecular neurobiology, 54(1), 58-71.</w:t>
      </w:r>
    </w:p>
    <w:p w14:paraId="29D28C8B" w14:textId="77777777" w:rsidR="00495C1D" w:rsidRPr="00005281" w:rsidRDefault="00495C1D" w:rsidP="00495C1D">
      <w:pPr>
        <w:spacing w:line="312" w:lineRule="auto"/>
        <w:ind w:firstLine="284"/>
        <w:rPr>
          <w:b/>
          <w:bCs/>
        </w:rPr>
      </w:pPr>
      <w:r w:rsidRPr="00005281">
        <w:rPr>
          <w:b/>
          <w:bCs/>
        </w:rPr>
        <w:t>3. kérdés</w:t>
      </w:r>
    </w:p>
    <w:p w14:paraId="0D668937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lastRenderedPageBreak/>
        <w:t>Capes, S. E., Hunt, D., Malmberg, K., Pathak, P., &amp; Gerstein, H. C. (2001). Stress hyperglycemia and prognosis of stroke in nondiabetic and diabetic patients: a systematic overview. Stroke, 32(10), 2426-2432.</w:t>
      </w:r>
    </w:p>
    <w:p w14:paraId="31AAB8DB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Cztonkowska, A., Ryglewicz, D., &amp; Lechowicz, W. (1997). Basic analytical parameters as the predictive factors for 30‐day case fatality rate in stroke. Acta neurologica scandinavica, 95(2), 121-124.</w:t>
      </w:r>
    </w:p>
    <w:p w14:paraId="7D827409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Dietrich, W. D., Alonso, O., &amp; Busto, R. (1993). Moderate hyperglycemia worsens acute blood-brain barrier injury after forebrain ischemia in rats. Stroke, 24(1), 111-116.</w:t>
      </w:r>
    </w:p>
    <w:p w14:paraId="10AA6C3E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Jarrett, R. J., Yudkin, J., Coppack, S., Gerstein, H., Yusuf, S., Malhotra, P., ... &amp; Singh, M. M. (1996). Dysglycaemia and risk of cardiovascular disease. The Lancet, 347(9018), 1833-1835.</w:t>
      </w:r>
    </w:p>
    <w:p w14:paraId="75073A72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Lattanzi, S., Bartolini, M., Provinciali, L., &amp; Silvestrini, M. (2016). Glycosylated hemoglobin and functional outcome after acute ischemic stroke. Journal of Stroke and Cerebrovascular Diseases, 25(7), 1786-1791.</w:t>
      </w:r>
    </w:p>
    <w:p w14:paraId="315A22E6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Lau, L. H., Lew, J., Borschmann, K., Thijs, V., &amp; Ekinci, E. I. (2019). Prevalence of diabetes and its effects on stroke outcomes: a meta‐analysis and literature review. Journal of diabetes investigation, 10(3), 780-792.</w:t>
      </w:r>
    </w:p>
    <w:p w14:paraId="69F99237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Masrur, S., Cox, M., Bhatt, D. L., Smith, E. E., Ellrodt, G., Fonarow, G. C., &amp; Schwamm, L. (2015). Association of acute and chronic hyperglycemia with acute ischemic stroke outcomes post‐thrombolysis: findings from get with the guidelines‐stroke. Journal of the American Heart Association, 4(10), e002193.</w:t>
      </w:r>
    </w:p>
    <w:p w14:paraId="266B3ED2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Olsen, T. S., Larsen, B., Herning, M., Skriver, E. B., &amp; Lassen, N. A. (1983). Blood flow and vascular reactivity in collaterally perfused brain tissue. Evidence of an ischemic penumbra in patients with acute stroke. Stroke, 14(3), 332-341.</w:t>
      </w:r>
    </w:p>
    <w:p w14:paraId="7B55B4E9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Rocco, A., Heuschmann, P. U., Schellinger, P. D., Köhrmann, M., Diedler, J., Sykora, M., ... &amp; Jüttler, E. (2013). Glycosylated hemoglobin A1 predicts risk for symptomatic hemorrhage after thrombolysis for acute stroke. Stroke, 44(8), 2134-2138.</w:t>
      </w:r>
    </w:p>
    <w:p w14:paraId="220A3872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Steinberg, H. O., Tarshoby, M., Monestel, R., Hook, G., Cronin, J., Johnson, A., ... &amp; Baron, A. D. (1997). Elevated circulating free fatty acid levels impair endothelium-dependent vasodilation. The Journal of clinical investigation, 100(5), 1230-1239.</w:t>
      </w:r>
    </w:p>
    <w:p w14:paraId="7D24332B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Yao, M., Ni, J., Zhou, L., Peng, B., Zhu, Y., Cui, L., &amp; SMART investigators. (2016). Elevated fasting blood glucose is predictive of poor outcome in non-diabetic stroke patients: a sub-group analysis of SMART. PLoS One, 11(8), e0160674.</w:t>
      </w:r>
    </w:p>
    <w:p w14:paraId="70CBFCF1" w14:textId="77777777" w:rsidR="00495C1D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Zelada, H., Bernabe-Ortiz, A., &amp; Manrique, H. (2016). Inhospital mortality in patients with type 2 diabetes mellitus: a prospective cohort study in Lima, Peru. Journal of Diabetes Research, 2016(1), 7287215.</w:t>
      </w:r>
    </w:p>
    <w:p w14:paraId="72423158" w14:textId="77777777" w:rsidR="00495C1D" w:rsidRPr="00005281" w:rsidRDefault="00495C1D" w:rsidP="00495C1D">
      <w:pPr>
        <w:spacing w:line="312" w:lineRule="auto"/>
        <w:ind w:firstLine="284"/>
        <w:rPr>
          <w:b/>
          <w:bCs/>
        </w:rPr>
      </w:pPr>
      <w:r w:rsidRPr="00005281">
        <w:rPr>
          <w:b/>
          <w:bCs/>
        </w:rPr>
        <w:lastRenderedPageBreak/>
        <w:t>4. kérdés</w:t>
      </w:r>
    </w:p>
    <w:p w14:paraId="706BDE86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Cardounel, A. J., &amp; Zweier, J. L. (2002). Endogenous methylarginines regulate neuronal nitric-oxide synthase and prevent excitotoxic injury. Journal of Biological Chemistry, 277(37), 33995-34002.</w:t>
      </w:r>
    </w:p>
    <w:p w14:paraId="7544A7B3" w14:textId="77777777" w:rsidR="00495C1D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Kielstein, A., Tsikas, D., Galloway, G. P., &amp; Mendelson, J. E. (2007). Asymmetric dimethylarginine (ADMA)—a modulator of nociception in opiate tolerance and addiction?. Nitric Oxide, 17(2), 55-59.</w:t>
      </w:r>
    </w:p>
    <w:p w14:paraId="65E262F4" w14:textId="77777777" w:rsidR="00495C1D" w:rsidRPr="009A2879" w:rsidRDefault="00495C1D" w:rsidP="00495C1D">
      <w:pPr>
        <w:spacing w:line="312" w:lineRule="auto"/>
        <w:rPr>
          <w:lang w:val="en-US"/>
        </w:rPr>
      </w:pPr>
    </w:p>
    <w:p w14:paraId="38FB1E41" w14:textId="77777777" w:rsidR="00495C1D" w:rsidRPr="00005281" w:rsidRDefault="00495C1D" w:rsidP="00495C1D">
      <w:pPr>
        <w:spacing w:line="312" w:lineRule="auto"/>
        <w:ind w:firstLine="284"/>
        <w:rPr>
          <w:b/>
          <w:bCs/>
        </w:rPr>
      </w:pPr>
      <w:r w:rsidRPr="00005281">
        <w:rPr>
          <w:b/>
          <w:bCs/>
        </w:rPr>
        <w:t>5. kérdés</w:t>
      </w:r>
    </w:p>
    <w:p w14:paraId="14C487DF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Brindicci, C., Kharitonov, S. A., Ito, M., Elliott, M. W., Hogg, J. C., Barnes, P. J., &amp; Ito, K. (2010). Nitric oxide synthase isoenzyme expression and activity in peripheral lung tissue of patients with chronic obstructive pulmonary disease. American journal of respiratory and critical care medicine, 181(1), 21-30.</w:t>
      </w:r>
    </w:p>
    <w:p w14:paraId="529D2AD6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Guo, F. H., De Raeve, H. R., Rice, T. W., Stuehr, D. J., Thunnissen, F. B., &amp; Erzurum, S. C. (1995). Continuous nitric oxide synthesis by inducible nitric oxide synthase in normal human airway epithelium in vivo. Proceedings of the National Academy of Sciences, 92(17), 7809-7813.</w:t>
      </w:r>
    </w:p>
    <w:p w14:paraId="72812FC0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Ricciardolo, F. L., Sterk, P. J., Gaston, B., &amp; Folkerts, G. (2004). Nitric oxide in health and disease of the respiratory system. Physiological reviews, 84(3), 731-765.</w:t>
      </w:r>
    </w:p>
    <w:p w14:paraId="6111DB0C" w14:textId="77777777" w:rsidR="00495C1D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Víteček, J., Lojek, A., Valacchi, G., &amp; Kubala, L. (2012). Arginine‐based inhibitors of nitric oxide synthase: therapeutic potential and challenges. Mediators of inflammation, 2012(1), 318087.</w:t>
      </w:r>
    </w:p>
    <w:p w14:paraId="050D56C5" w14:textId="77777777" w:rsidR="00495C1D" w:rsidRPr="009A2879" w:rsidRDefault="00495C1D" w:rsidP="00495C1D">
      <w:pPr>
        <w:spacing w:line="312" w:lineRule="auto"/>
        <w:rPr>
          <w:lang w:val="en-US"/>
        </w:rPr>
      </w:pPr>
    </w:p>
    <w:p w14:paraId="6BC67D42" w14:textId="77777777" w:rsidR="00495C1D" w:rsidRPr="00005281" w:rsidRDefault="00495C1D" w:rsidP="00495C1D">
      <w:pPr>
        <w:spacing w:line="312" w:lineRule="auto"/>
        <w:ind w:firstLine="284"/>
        <w:rPr>
          <w:b/>
          <w:bCs/>
        </w:rPr>
      </w:pPr>
      <w:r w:rsidRPr="00005281">
        <w:rPr>
          <w:b/>
          <w:bCs/>
        </w:rPr>
        <w:t>6. kérdés</w:t>
      </w:r>
    </w:p>
    <w:p w14:paraId="38C047EF" w14:textId="77777777" w:rsidR="00495C1D" w:rsidRPr="009A2879" w:rsidRDefault="00495C1D" w:rsidP="00495C1D">
      <w:pPr>
        <w:spacing w:line="312" w:lineRule="auto"/>
        <w:rPr>
          <w:highlight w:val="yellow"/>
          <w:lang w:val="en-US"/>
        </w:rPr>
      </w:pPr>
      <w:r w:rsidRPr="009A2879">
        <w:rPr>
          <w:lang w:val="en-US"/>
        </w:rPr>
        <w:t>Jackson-Koku, G. (2016). Beck depression inventory. Occupational medicine, 66(2), 174-175.</w:t>
      </w:r>
    </w:p>
    <w:p w14:paraId="43947883" w14:textId="77777777" w:rsidR="00495C1D" w:rsidRPr="009A2879" w:rsidRDefault="00495C1D" w:rsidP="00495C1D">
      <w:pPr>
        <w:spacing w:line="312" w:lineRule="auto"/>
        <w:rPr>
          <w:highlight w:val="yellow"/>
          <w:lang w:val="en-US"/>
        </w:rPr>
      </w:pPr>
      <w:r w:rsidRPr="009A2879">
        <w:rPr>
          <w:lang w:val="en-US"/>
        </w:rPr>
        <w:t>Jones, P. W. (2005). St. George's respiratory questionnaire: MCID. COPD: Journal of Chronic Obstructive Pulmonary Disease, 2(1), 75-79.</w:t>
      </w:r>
      <w:r w:rsidRPr="009A2879">
        <w:rPr>
          <w:highlight w:val="yellow"/>
          <w:lang w:val="en-US"/>
        </w:rPr>
        <w:t xml:space="preserve"> </w:t>
      </w:r>
    </w:p>
    <w:p w14:paraId="31E00784" w14:textId="77777777" w:rsidR="00495C1D" w:rsidRPr="009A2879" w:rsidRDefault="00495C1D" w:rsidP="00495C1D">
      <w:pPr>
        <w:spacing w:line="312" w:lineRule="auto"/>
        <w:rPr>
          <w:highlight w:val="yellow"/>
          <w:lang w:val="en-US"/>
        </w:rPr>
      </w:pPr>
      <w:r w:rsidRPr="009A2879">
        <w:rPr>
          <w:lang w:val="en-US"/>
        </w:rPr>
        <w:t>Jones, P. W., Quirk, F. H., Baveystock, C. M., &amp; Littlejohns, P. (1992). A self-complete measure of health status for chronic airflow limitation: the St. George's Respiratory Questionnaire. American Journal of Respiratory and Critical Care Medicine, 145(6), 1321-1327.</w:t>
      </w:r>
    </w:p>
    <w:p w14:paraId="7A8D2931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 xml:space="preserve">Yohannes, A. M., &amp; Alexopoulos, G. S. (2014). Depression and anxiety in patients with COPD. European respiratory review, 23(133), 345-349. </w:t>
      </w:r>
    </w:p>
    <w:p w14:paraId="14723FA1" w14:textId="77777777" w:rsidR="00495C1D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lastRenderedPageBreak/>
        <w:t>Zigmond, A. S., &amp; Snaith, R. P. (1983). The hospital anxiety and depression scale. Acta psychiatrica scandinavica, 67(6), 361-370.</w:t>
      </w:r>
    </w:p>
    <w:p w14:paraId="7DFFBCA8" w14:textId="77777777" w:rsidR="00495C1D" w:rsidRPr="009A2879" w:rsidRDefault="00495C1D" w:rsidP="00495C1D">
      <w:pPr>
        <w:spacing w:line="312" w:lineRule="auto"/>
        <w:rPr>
          <w:lang w:val="en-US"/>
        </w:rPr>
      </w:pPr>
    </w:p>
    <w:p w14:paraId="56F56993" w14:textId="77777777" w:rsidR="00495C1D" w:rsidRPr="00005281" w:rsidRDefault="00495C1D" w:rsidP="00495C1D">
      <w:pPr>
        <w:spacing w:line="312" w:lineRule="auto"/>
        <w:ind w:firstLine="284"/>
        <w:rPr>
          <w:b/>
          <w:bCs/>
        </w:rPr>
      </w:pPr>
      <w:r w:rsidRPr="00005281">
        <w:rPr>
          <w:b/>
          <w:bCs/>
        </w:rPr>
        <w:t>7. kérdés</w:t>
      </w:r>
    </w:p>
    <w:p w14:paraId="1FDFFFA6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Aravamudan, B., Thompson, M. A., Pabelick, C. M., &amp; Prakash, Y. S. (2016). Mechanisms of BDNF regulation in asthmatic airway smooth muscle. American Journal of Physiology-Lung Cellular and Molecular Physiology, 311(2), L270-L279.</w:t>
      </w:r>
    </w:p>
    <w:p w14:paraId="6F5F5593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Dell’Oste, V., Palego, L., Betti, L., Fantasia, S., Gravina, D., Bordacchini, A., ... &amp; Carmassi, C. (2024). Plasma and platelet brain-derived neurotrophic factor (BDNF) levels in bipolar disorder patients with post-traumatic stress disorder (PTSD) or in a major depressive episode compared to healthy controls. International Journal of Molecular Sciences, 25(6), 3529.</w:t>
      </w:r>
    </w:p>
    <w:p w14:paraId="3762D32D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Fujimura, H., Altar, C. A., Chen, R., Nakamura, T., Nakahashi, T., Kambayashi, J. I., ... &amp; Tandon, N. N. (2002). Brain-derived neurotrophic factor is stored in human platelets and released by agonist stimulation. Thrombosis and haemostasis, 87(04), 728-734.</w:t>
      </w:r>
    </w:p>
    <w:p w14:paraId="654C390A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Klein, A. B., Williamson, R., Santini, M. A., Clemmensen, C., Ettrup, A., Rios, M., ... &amp; Aznar, S. (2011). Blood BDNF concentrations reflect brain-tissue BDNF levels across species. International Journal of Neuropsychopharmacology, 14(3), 347-353.</w:t>
      </w:r>
    </w:p>
    <w:p w14:paraId="383530B7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Prakash, Y. S., Thompson, M. A., Meuchel, L., Pabelick, C. M., Mantilla, C. B., Zaidi, S., &amp; Martin, R. J. (2010). Neurotrophins in lung health and disease. Expert review of respiratory medicine, 4(3), 395-411.</w:t>
      </w:r>
    </w:p>
    <w:p w14:paraId="6B9AAE86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Rasmussen, P., Brassard, P., Adser, H., Pedersen, M. V., Leick, L., Hart, E., ... &amp; Pilegaard, H. (2009). Evidence for a release of brain‐derived neurotrophic factor from the brain during exercise. Experimental physiology, 94(10), 1062-1069.</w:t>
      </w:r>
    </w:p>
    <w:p w14:paraId="282646EA" w14:textId="77777777" w:rsidR="00495C1D" w:rsidRPr="009A2879" w:rsidRDefault="00495C1D" w:rsidP="00495C1D">
      <w:pPr>
        <w:spacing w:line="312" w:lineRule="auto"/>
        <w:rPr>
          <w:lang w:val="en-US"/>
        </w:rPr>
      </w:pPr>
    </w:p>
    <w:p w14:paraId="5F7B38C7" w14:textId="77777777" w:rsidR="00495C1D" w:rsidRPr="00005281" w:rsidRDefault="00495C1D" w:rsidP="00495C1D">
      <w:pPr>
        <w:spacing w:line="312" w:lineRule="auto"/>
        <w:ind w:firstLine="284"/>
        <w:rPr>
          <w:b/>
          <w:bCs/>
        </w:rPr>
      </w:pPr>
      <w:r w:rsidRPr="00005281">
        <w:rPr>
          <w:b/>
          <w:bCs/>
        </w:rPr>
        <w:t>8. kérdés</w:t>
      </w:r>
    </w:p>
    <w:p w14:paraId="153E05DC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Bilder, R. M., Volavka, J., Lachman, H. M., &amp; Grace, A. A. (2004). The catechol-O-methyltransferase polymorphism: relations to the tonic–phasic dopamine hypothesis and neuropsychiatric phenotypes. Neuropsychopharmacology, 29(11), 1943-1961.</w:t>
      </w:r>
    </w:p>
    <w:p w14:paraId="07737B0D" w14:textId="77777777" w:rsidR="00495C1D" w:rsidRPr="009A2879" w:rsidRDefault="00495C1D" w:rsidP="00495C1D">
      <w:pPr>
        <w:spacing w:line="312" w:lineRule="auto"/>
        <w:rPr>
          <w:lang w:val="en-US"/>
        </w:rPr>
      </w:pPr>
      <w:r w:rsidRPr="009A2879">
        <w:rPr>
          <w:lang w:val="en-US"/>
        </w:rPr>
        <w:t>Paul, A., Segreti, M., Marc, I. B., Fiorenza, M. T., Canterini, S., Ramawat, S., ... &amp; Brunamonti, E. (2026). Individual differences in learning and decision-making: the role of COMT Val158Met polymorphism in transitive inference. Experimental Brain Research, 244(4), 52.</w:t>
      </w:r>
    </w:p>
    <w:sectPr w:rsidR="00495C1D" w:rsidRPr="009A2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4361C"/>
    <w:multiLevelType w:val="hybridMultilevel"/>
    <w:tmpl w:val="10B44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28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1D"/>
    <w:rsid w:val="00046FA0"/>
    <w:rsid w:val="003F6981"/>
    <w:rsid w:val="0041085A"/>
    <w:rsid w:val="00495C1D"/>
    <w:rsid w:val="005C3547"/>
    <w:rsid w:val="006C3CD8"/>
    <w:rsid w:val="00857EB7"/>
    <w:rsid w:val="00880F8D"/>
    <w:rsid w:val="009F248A"/>
    <w:rsid w:val="00A91CD8"/>
    <w:rsid w:val="00B27767"/>
    <w:rsid w:val="00E0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5371EF"/>
  <w15:chartTrackingRefBased/>
  <w15:docId w15:val="{4BC36812-04BD-4FAE-8A0A-70E596E8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5C1D"/>
    <w:pPr>
      <w:jc w:val="both"/>
    </w:pPr>
    <w:rPr>
      <w:kern w:val="3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5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5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5C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5C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5C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5C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5C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5C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5C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5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5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5C1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5C1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5C1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5C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5C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5C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5C1D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5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95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5C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95C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5C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95C1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5C1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95C1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5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5C1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5C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4612</Words>
  <Characters>31826</Characters>
  <Application>Microsoft Office Word</Application>
  <DocSecurity>0</DocSecurity>
  <Lines>265</Lines>
  <Paragraphs>72</Paragraphs>
  <ScaleCrop>false</ScaleCrop>
  <Company/>
  <LinksUpToDate>false</LinksUpToDate>
  <CharactersWithSpaces>36366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Gesztelyi</dc:creator>
  <cp:keywords/>
  <dc:description/>
  <cp:lastModifiedBy>Rudolf Gesztelyi</cp:lastModifiedBy>
  <cp:revision>2</cp:revision>
  <dcterms:created xsi:type="dcterms:W3CDTF">2026-04-04T14:48:00Z</dcterms:created>
  <dcterms:modified xsi:type="dcterms:W3CDTF">2026-04-04T14:52:00Z</dcterms:modified>
</cp:coreProperties>
</file>