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AA" w:rsidRPr="004E2AE6" w:rsidRDefault="004D34AA" w:rsidP="00497AD9">
      <w:pPr>
        <w:spacing w:line="360" w:lineRule="auto"/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E2AE6">
        <w:rPr>
          <w:rFonts w:ascii="Times New Roman" w:hAnsi="Times New Roman" w:cs="Times New Roman"/>
          <w:sz w:val="24"/>
          <w:szCs w:val="24"/>
        </w:rPr>
        <w:t>Válasz</w:t>
      </w:r>
      <w:r>
        <w:rPr>
          <w:rFonts w:ascii="Times New Roman" w:hAnsi="Times New Roman" w:cs="Times New Roman"/>
          <w:sz w:val="24"/>
          <w:szCs w:val="24"/>
        </w:rPr>
        <w:t xml:space="preserve"> Dr. Tímár József professzor úrnak az</w:t>
      </w:r>
    </w:p>
    <w:p w:rsidR="004D34AA" w:rsidRPr="004E2AE6" w:rsidRDefault="004D34AA" w:rsidP="00497AD9">
      <w:pPr>
        <w:spacing w:line="36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E6">
        <w:rPr>
          <w:rFonts w:ascii="Times New Roman" w:hAnsi="Times New Roman" w:cs="Times New Roman"/>
          <w:b/>
          <w:sz w:val="24"/>
          <w:szCs w:val="24"/>
        </w:rPr>
        <w:t>„Új módszerek a daganatok genetikai jellegzetességeinek</w:t>
      </w:r>
    </w:p>
    <w:p w:rsidR="004D34AA" w:rsidRPr="004E2AE6" w:rsidRDefault="004D34AA" w:rsidP="00497AD9">
      <w:pPr>
        <w:spacing w:line="36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E6">
        <w:rPr>
          <w:rFonts w:ascii="Times New Roman" w:hAnsi="Times New Roman" w:cs="Times New Roman"/>
          <w:b/>
          <w:sz w:val="24"/>
          <w:szCs w:val="24"/>
        </w:rPr>
        <w:t>és heterogenitásának vizsgálata</w:t>
      </w:r>
      <w:r w:rsidR="00010656">
        <w:rPr>
          <w:rFonts w:ascii="Times New Roman" w:hAnsi="Times New Roman" w:cs="Times New Roman"/>
          <w:b/>
          <w:sz w:val="24"/>
          <w:szCs w:val="24"/>
        </w:rPr>
        <w:t xml:space="preserve"> (1004-15)</w:t>
      </w:r>
      <w:r w:rsidRPr="004E2AE6">
        <w:rPr>
          <w:rFonts w:ascii="Times New Roman" w:hAnsi="Times New Roman" w:cs="Times New Roman"/>
          <w:b/>
          <w:sz w:val="24"/>
          <w:szCs w:val="24"/>
        </w:rPr>
        <w:t>”</w:t>
      </w:r>
    </w:p>
    <w:p w:rsidR="00385D4B" w:rsidRDefault="004D34AA" w:rsidP="00497A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2AE6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4E2AE6">
        <w:rPr>
          <w:rFonts w:ascii="Times New Roman" w:hAnsi="Times New Roman" w:cs="Times New Roman"/>
          <w:sz w:val="24"/>
          <w:szCs w:val="24"/>
        </w:rPr>
        <w:t xml:space="preserve"> MTA Doktori Értekezés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E2AE6">
        <w:rPr>
          <w:rFonts w:ascii="Times New Roman" w:hAnsi="Times New Roman" w:cs="Times New Roman"/>
          <w:sz w:val="24"/>
          <w:szCs w:val="24"/>
        </w:rPr>
        <w:t xml:space="preserve"> bírálatára</w:t>
      </w:r>
    </w:p>
    <w:p w:rsidR="004D34AA" w:rsidRDefault="004D34AA" w:rsidP="00497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4AA" w:rsidRPr="004E2AE6" w:rsidRDefault="004D34AA" w:rsidP="00497A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E6">
        <w:rPr>
          <w:rFonts w:ascii="Times New Roman" w:hAnsi="Times New Roman" w:cs="Times New Roman"/>
          <w:b/>
          <w:sz w:val="24"/>
          <w:szCs w:val="24"/>
        </w:rPr>
        <w:t>Tímár József professzor úr kérdéseire adott válaszaim</w:t>
      </w:r>
    </w:p>
    <w:p w:rsidR="004D34AA" w:rsidRPr="00D524B9" w:rsidRDefault="004D34AA" w:rsidP="00497AD9">
      <w:pPr>
        <w:pStyle w:val="Listaszerbekezds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Melyek az </w:t>
      </w:r>
      <w:r w:rsidRPr="00D524B9">
        <w:rPr>
          <w:rFonts w:ascii="Times New Roman" w:hAnsi="Times New Roman" w:cs="Times New Roman"/>
          <w:i/>
          <w:sz w:val="24"/>
          <w:szCs w:val="24"/>
        </w:rPr>
        <w:t>LSC mikroszkópia/</w:t>
      </w:r>
      <w:proofErr w:type="spellStart"/>
      <w:r w:rsidRPr="00D524B9">
        <w:rPr>
          <w:rFonts w:ascii="Times New Roman" w:hAnsi="Times New Roman" w:cs="Times New Roman"/>
          <w:i/>
          <w:sz w:val="24"/>
          <w:szCs w:val="24"/>
        </w:rPr>
        <w:t>citometria</w:t>
      </w:r>
      <w:proofErr w:type="spellEnd"/>
      <w:r w:rsidRPr="00D524B9">
        <w:rPr>
          <w:rFonts w:ascii="Times New Roman" w:hAnsi="Times New Roman" w:cs="Times New Roman"/>
          <w:i/>
          <w:sz w:val="24"/>
          <w:szCs w:val="24"/>
        </w:rPr>
        <w:t xml:space="preserve"> mai rutinszerű alkalmazásai a diagnosztikus patológiában</w:t>
      </w:r>
    </w:p>
    <w:p w:rsidR="004D34AA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testvérek a 70-es évek elejétől kísérleteztek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áramláscitometriához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hasonló sejtpopuláció szintű mérési technika kidolgozásával tárgylemezre vitt sejtek vizsgálatára. A számítástechnikai feltételek az 1990-es évek közepétől tették mindezt lehetővé. A mikroszkópra épített LSC módszert nagy izgalommal vizsgálták világszerte számos alkalmazás szempontjából, de ezzel párhuzamosan a mérések technikájában pont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áramláscitometria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morfológiai analízis szempontjából pedig az átmenő fényes digitális képanalízis, a különféle tárgylemez </w:t>
      </w:r>
      <w:proofErr w:type="spellStart"/>
      <w:r>
        <w:rPr>
          <w:rFonts w:ascii="Times New Roman" w:hAnsi="Times New Roman" w:cs="Times New Roman"/>
          <w:sz w:val="24"/>
          <w:szCs w:val="24"/>
        </w:rPr>
        <w:t>szkennelési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technológiák, ezek fluoreszcens változatai, a precízebb interakciók vizsgálatához pedig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konfokális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mikroszkópia irányzatai hatékonyan törtek előre. Mindez azt eredményezte, hogy a cég a készülékét tudatosan nem fejlesztette tovább</w:t>
      </w:r>
      <w:r w:rsidRPr="004A2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diagnosztikában használatos sejtszintű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morfometriai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vizsgálatok irányába, hanem a hagyományos mikroszkópiától fokozatosan eltávolodva kialakították a folyadékfázisú sejtek fluoreszcens vizsgálatára alkalmas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plate-olvasó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platformot, mely elsősorban kísérletes és ipari applikációkra alakítható, pl.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kromatinkondenzáció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micronucleus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enzimkinetikai</w:t>
      </w:r>
      <w:proofErr w:type="spellEnd"/>
      <w:r>
        <w:rPr>
          <w:rFonts w:ascii="Times New Roman" w:hAnsi="Times New Roman" w:cs="Times New Roman"/>
          <w:sz w:val="24"/>
          <w:szCs w:val="24"/>
        </w:rPr>
        <w:t>, stb. vizsgálatok (</w:t>
      </w:r>
      <w:proofErr w:type="spellStart"/>
      <w:r>
        <w:rPr>
          <w:rFonts w:ascii="Times New Roman" w:hAnsi="Times New Roman" w:cs="Times New Roman"/>
          <w:sz w:val="24"/>
          <w:szCs w:val="24"/>
        </w:rPr>
        <w:t>Pozarowski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2013). Az LSC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technológia jelentős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átalakuláson ment keresztül, ami a gyártó(k) névváltozásában is megmutatkozik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stb.). Véleményem szerint ugyanakkor az LSC kb. 15 éves aktív alkalmazása citológiai/patológiai rutinban nagyot lendített a mintafeldolgozás, a fluoreszcens technikák és a mérési adatok kezelésének megoldásain és a tapasztalatok maradéktalanul beépültek a jelenleg használatos legmodernebb módszerekbe.   </w:t>
      </w:r>
    </w:p>
    <w:p w:rsidR="004D34AA" w:rsidRPr="004E2AE6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34AA" w:rsidRDefault="004D34AA" w:rsidP="00497AD9">
      <w:pPr>
        <w:pStyle w:val="Listaszerbekezds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6D1D">
        <w:rPr>
          <w:rFonts w:ascii="Times New Roman" w:hAnsi="Times New Roman" w:cs="Times New Roman"/>
          <w:i/>
          <w:sz w:val="24"/>
          <w:szCs w:val="24"/>
        </w:rPr>
        <w:t xml:space="preserve">LCH esetén, ill. a megvizsgált konkrét esetekben a BRAF mutáció homo- vagy heterozigóta formában volt-e jelen, ami magyarázhatná az </w:t>
      </w:r>
      <w:r>
        <w:rPr>
          <w:rFonts w:ascii="Times New Roman" w:hAnsi="Times New Roman" w:cs="Times New Roman"/>
          <w:i/>
          <w:sz w:val="24"/>
          <w:szCs w:val="24"/>
        </w:rPr>
        <w:t xml:space="preserve">egyes esetekben </w:t>
      </w:r>
      <w:r w:rsidRPr="00086D1D">
        <w:rPr>
          <w:rFonts w:ascii="Times New Roman" w:hAnsi="Times New Roman" w:cs="Times New Roman"/>
          <w:i/>
          <w:sz w:val="24"/>
          <w:szCs w:val="24"/>
        </w:rPr>
        <w:t xml:space="preserve">eltérő </w:t>
      </w:r>
      <w:r w:rsidRPr="00086D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szintű protein </w:t>
      </w:r>
      <w:proofErr w:type="spellStart"/>
      <w:r w:rsidRPr="00086D1D">
        <w:rPr>
          <w:rFonts w:ascii="Times New Roman" w:hAnsi="Times New Roman" w:cs="Times New Roman"/>
          <w:i/>
          <w:sz w:val="24"/>
          <w:szCs w:val="24"/>
        </w:rPr>
        <w:t>expressziót</w:t>
      </w:r>
      <w:proofErr w:type="spellEnd"/>
      <w:r w:rsidRPr="00086D1D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086D1D">
        <w:rPr>
          <w:rFonts w:ascii="Times New Roman" w:hAnsi="Times New Roman" w:cs="Times New Roman"/>
          <w:i/>
          <w:sz w:val="24"/>
          <w:szCs w:val="24"/>
        </w:rPr>
        <w:t>LCH-ban</w:t>
      </w:r>
      <w:proofErr w:type="spellEnd"/>
      <w:r w:rsidRPr="00086D1D">
        <w:rPr>
          <w:rFonts w:ascii="Times New Roman" w:hAnsi="Times New Roman" w:cs="Times New Roman"/>
          <w:i/>
          <w:sz w:val="24"/>
          <w:szCs w:val="24"/>
        </w:rPr>
        <w:t xml:space="preserve"> a BRAF mutáció homo- vagy heterogén formában van-e jelen a </w:t>
      </w:r>
      <w:proofErr w:type="spellStart"/>
      <w:r w:rsidRPr="00086D1D">
        <w:rPr>
          <w:rFonts w:ascii="Times New Roman" w:hAnsi="Times New Roman" w:cs="Times New Roman"/>
          <w:i/>
          <w:sz w:val="24"/>
          <w:szCs w:val="24"/>
        </w:rPr>
        <w:t>léziókban</w:t>
      </w:r>
      <w:proofErr w:type="spellEnd"/>
      <w:r w:rsidRPr="00086D1D">
        <w:rPr>
          <w:rFonts w:ascii="Times New Roman" w:hAnsi="Times New Roman" w:cs="Times New Roman"/>
          <w:i/>
          <w:sz w:val="24"/>
          <w:szCs w:val="24"/>
        </w:rPr>
        <w:t>?</w:t>
      </w:r>
    </w:p>
    <w:p w:rsidR="004D34AA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LCH tanulmányunkban a V600 mutációk kimutatása klasszikus Sanger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szekvenálással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történt, ami a mutáció specifikus kimutatására alkalmas.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szekvenálás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mutáns és vad genotípus együttes előfordulását már kissé korlátozottan, de lehetővé teszi, de konkrétan a daganatsejtek homo- heterozigótaságának kérdésében nem túlságosan informatív. Betegmintákban számítanunk kell ugyanis a daganatsejteket övező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nem-neoplasztikus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 teljesen szokványos kontaminációjára, amely nehezen kontrollálható, még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mikrodisszekció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alkalmazásával is jelentősebb mértékben fennállhat. E</w:t>
      </w:r>
      <w:r w:rsidR="00A95AD4">
        <w:rPr>
          <w:rFonts w:ascii="Times New Roman" w:hAnsi="Times New Roman" w:cs="Times New Roman"/>
          <w:sz w:val="24"/>
          <w:szCs w:val="24"/>
        </w:rPr>
        <w:t>nnek megítélésére</w:t>
      </w:r>
      <w:r>
        <w:rPr>
          <w:rFonts w:ascii="Times New Roman" w:hAnsi="Times New Roman" w:cs="Times New Roman"/>
          <w:sz w:val="24"/>
          <w:szCs w:val="24"/>
        </w:rPr>
        <w:t xml:space="preserve"> fő adatforrásunk, a kapilláris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elekroforézissel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szekvenciagörbe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AD4">
        <w:rPr>
          <w:rFonts w:ascii="Times New Roman" w:hAnsi="Times New Roman" w:cs="Times New Roman"/>
          <w:sz w:val="24"/>
          <w:szCs w:val="24"/>
        </w:rPr>
        <w:t>pontmutációt</w:t>
      </w:r>
      <w:proofErr w:type="spellEnd"/>
      <w:r w:rsidR="00A95A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nukleotidcserét</w:t>
      </w:r>
      <w:proofErr w:type="spellEnd"/>
      <w:r w:rsidR="00A95A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jelző és a vele egyidejűleg detektált normális csúcsainak hányadosa </w:t>
      </w:r>
      <w:r w:rsidR="00A95AD4">
        <w:rPr>
          <w:rFonts w:ascii="Times New Roman" w:hAnsi="Times New Roman" w:cs="Times New Roman"/>
          <w:sz w:val="24"/>
          <w:szCs w:val="24"/>
        </w:rPr>
        <w:t>adhatna némi útmutatást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5AD4">
        <w:rPr>
          <w:rFonts w:ascii="Times New Roman" w:hAnsi="Times New Roman" w:cs="Times New Roman"/>
          <w:sz w:val="24"/>
          <w:szCs w:val="24"/>
        </w:rPr>
        <w:t xml:space="preserve">ilyen mérésekre vonatkozóan </w:t>
      </w:r>
      <w:r>
        <w:rPr>
          <w:rFonts w:ascii="Times New Roman" w:hAnsi="Times New Roman" w:cs="Times New Roman"/>
          <w:sz w:val="24"/>
          <w:szCs w:val="24"/>
        </w:rPr>
        <w:t xml:space="preserve">a szakirodalomban </w:t>
      </w:r>
      <w:r w:rsidR="00A95AD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megjelentek </w:t>
      </w:r>
      <w:r w:rsidR="00A95AD4">
        <w:rPr>
          <w:rFonts w:ascii="Times New Roman" w:hAnsi="Times New Roman" w:cs="Times New Roman"/>
          <w:sz w:val="24"/>
          <w:szCs w:val="24"/>
        </w:rPr>
        <w:t xml:space="preserve">már </w:t>
      </w:r>
      <w:r w:rsidR="00AB2DC1">
        <w:rPr>
          <w:rFonts w:ascii="Times New Roman" w:hAnsi="Times New Roman" w:cs="Times New Roman"/>
          <w:sz w:val="24"/>
          <w:szCs w:val="24"/>
        </w:rPr>
        <w:t>statisztikai számítások</w:t>
      </w:r>
      <w:r w:rsidR="00A95A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5AD4">
        <w:rPr>
          <w:rFonts w:ascii="Times New Roman" w:hAnsi="Times New Roman" w:cs="Times New Roman"/>
          <w:sz w:val="24"/>
          <w:szCs w:val="24"/>
        </w:rPr>
        <w:t>mutant-allele</w:t>
      </w:r>
      <w:proofErr w:type="spellEnd"/>
      <w:r w:rsidR="00A9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AD4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A9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AD4">
        <w:rPr>
          <w:rFonts w:ascii="Times New Roman" w:hAnsi="Times New Roman" w:cs="Times New Roman"/>
          <w:sz w:val="24"/>
          <w:szCs w:val="24"/>
        </w:rPr>
        <w:t>imbalance</w:t>
      </w:r>
      <w:proofErr w:type="spellEnd"/>
      <w:r w:rsidR="00A95AD4">
        <w:rPr>
          <w:rFonts w:ascii="Times New Roman" w:hAnsi="Times New Roman" w:cs="Times New Roman"/>
          <w:sz w:val="24"/>
          <w:szCs w:val="24"/>
        </w:rPr>
        <w:t xml:space="preserve"> – MASI)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5AD4" w:rsidRPr="00A95AD4">
        <w:rPr>
          <w:rFonts w:ascii="Times New Roman" w:hAnsi="Times New Roman" w:cs="Times New Roman"/>
          <w:sz w:val="24"/>
          <w:szCs w:val="24"/>
        </w:rPr>
        <w:t>Chiosea</w:t>
      </w:r>
      <w:proofErr w:type="spellEnd"/>
      <w:r w:rsidR="00A95AD4" w:rsidRPr="00A95AD4">
        <w:rPr>
          <w:rFonts w:ascii="Times New Roman" w:hAnsi="Times New Roman" w:cs="Times New Roman"/>
          <w:sz w:val="24"/>
          <w:szCs w:val="24"/>
        </w:rPr>
        <w:t xml:space="preserve"> SI, </w:t>
      </w:r>
      <w:proofErr w:type="spellStart"/>
      <w:r w:rsidR="00A95AD4" w:rsidRPr="00A95AD4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="00A95AD4" w:rsidRPr="00A9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AD4" w:rsidRPr="00A95AD4">
        <w:rPr>
          <w:rFonts w:ascii="Times New Roman" w:hAnsi="Times New Roman" w:cs="Times New Roman"/>
          <w:sz w:val="24"/>
          <w:szCs w:val="24"/>
        </w:rPr>
        <w:t>Pathol</w:t>
      </w:r>
      <w:proofErr w:type="spellEnd"/>
      <w:r w:rsidR="00A95AD4" w:rsidRPr="00A95AD4">
        <w:rPr>
          <w:rFonts w:ascii="Times New Roman" w:hAnsi="Times New Roman" w:cs="Times New Roman"/>
          <w:sz w:val="24"/>
          <w:szCs w:val="24"/>
        </w:rPr>
        <w:t xml:space="preserve"> 2011; </w:t>
      </w:r>
      <w:proofErr w:type="spellStart"/>
      <w:r w:rsidR="00A95AD4" w:rsidRPr="00A95AD4">
        <w:rPr>
          <w:rFonts w:ascii="Times New Roman" w:hAnsi="Times New Roman" w:cs="Times New Roman"/>
          <w:sz w:val="24"/>
          <w:szCs w:val="24"/>
        </w:rPr>
        <w:t>Malapelle</w:t>
      </w:r>
      <w:proofErr w:type="spellEnd"/>
      <w:r w:rsidR="00A95AD4" w:rsidRPr="00A95AD4">
        <w:rPr>
          <w:rFonts w:ascii="Times New Roman" w:hAnsi="Times New Roman" w:cs="Times New Roman"/>
          <w:sz w:val="24"/>
          <w:szCs w:val="24"/>
        </w:rPr>
        <w:t xml:space="preserve"> U et </w:t>
      </w:r>
      <w:proofErr w:type="spellStart"/>
      <w:r w:rsidR="00A95AD4" w:rsidRPr="00A95AD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A95AD4" w:rsidRPr="00A95AD4"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 w:rsidR="00A95AD4" w:rsidRPr="00A95AD4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="00A95AD4" w:rsidRPr="00A9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AD4" w:rsidRPr="00A95AD4">
        <w:rPr>
          <w:rFonts w:ascii="Times New Roman" w:hAnsi="Times New Roman" w:cs="Times New Roman"/>
          <w:sz w:val="24"/>
          <w:szCs w:val="24"/>
        </w:rPr>
        <w:t>Pathol</w:t>
      </w:r>
      <w:proofErr w:type="spellEnd"/>
      <w:r w:rsidR="00A95AD4" w:rsidRPr="00A95AD4">
        <w:rPr>
          <w:rFonts w:ascii="Times New Roman" w:hAnsi="Times New Roman" w:cs="Times New Roman"/>
          <w:sz w:val="24"/>
          <w:szCs w:val="24"/>
        </w:rPr>
        <w:t xml:space="preserve"> 2015</w:t>
      </w:r>
      <w:r w:rsidRPr="00A95A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kérdésen </w:t>
      </w:r>
      <w:r w:rsidR="00AB2DC1">
        <w:rPr>
          <w:rFonts w:ascii="Times New Roman" w:hAnsi="Times New Roman" w:cs="Times New Roman"/>
          <w:sz w:val="24"/>
          <w:szCs w:val="24"/>
        </w:rPr>
        <w:t xml:space="preserve">sokat </w:t>
      </w:r>
      <w:r>
        <w:rPr>
          <w:rFonts w:ascii="Times New Roman" w:hAnsi="Times New Roman" w:cs="Times New Roman"/>
          <w:sz w:val="24"/>
          <w:szCs w:val="24"/>
        </w:rPr>
        <w:t xml:space="preserve">lendít a mutáns BRAF fehérje </w:t>
      </w:r>
      <w:proofErr w:type="spellStart"/>
      <w:r w:rsidR="00A95AD4">
        <w:rPr>
          <w:rFonts w:ascii="Times New Roman" w:hAnsi="Times New Roman" w:cs="Times New Roman"/>
          <w:sz w:val="24"/>
          <w:szCs w:val="24"/>
        </w:rPr>
        <w:t>expressziójának</w:t>
      </w:r>
      <w:proofErr w:type="spellEnd"/>
      <w:r w:rsidR="00A95AD4">
        <w:rPr>
          <w:rFonts w:ascii="Times New Roman" w:hAnsi="Times New Roman" w:cs="Times New Roman"/>
          <w:sz w:val="24"/>
          <w:szCs w:val="24"/>
        </w:rPr>
        <w:t xml:space="preserve"> </w:t>
      </w:r>
      <w:r w:rsidR="00AB2DC1">
        <w:rPr>
          <w:rFonts w:ascii="Times New Roman" w:hAnsi="Times New Roman" w:cs="Times New Roman"/>
          <w:sz w:val="24"/>
          <w:szCs w:val="24"/>
        </w:rPr>
        <w:t xml:space="preserve">tanulmányozása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tumorsejtekben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mely egy adott LCH esetben meglehetősen állandónak bizonyult, jelezvén, hogy (i)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intratumorális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heterogenitás a mutáns </w:t>
      </w:r>
      <w:proofErr w:type="spellStart"/>
      <w:r>
        <w:rPr>
          <w:rFonts w:ascii="Times New Roman" w:hAnsi="Times New Roman" w:cs="Times New Roman"/>
          <w:sz w:val="24"/>
          <w:szCs w:val="24"/>
        </w:rPr>
        <w:t>BRAF-ra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nézve nem jellemző,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fehérjeexpresszió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mértéke a daganaton belül esetlegesen megjelenő allélgyakoriság eltérésektől független (amennyiben persze ez előfordul, vizsgálata nem történt meg).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immunhisztokémiával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egyes esetek között észlelt eltérő intenzitású mutáns BRAF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kérdése bonyolultabb, és minden bizonnyal biológiai/szabályozási és technikai faktorok egyaránt szerepet játszanak.</w:t>
      </w:r>
    </w:p>
    <w:p w:rsidR="004D34AA" w:rsidRPr="00086D1D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34AA" w:rsidRPr="00497AD9" w:rsidRDefault="004D34AA" w:rsidP="00497AD9">
      <w:pPr>
        <w:pStyle w:val="Listaszerbekezds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Cervix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citológia LSC: mennyi sejtre alapozva végezték a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ploiditás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méréseket (10e4?) és miért pont ez volt a határérték, honnan származott a meghatározás?</w:t>
      </w:r>
    </w:p>
    <w:p w:rsidR="004D34AA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vizsgálatra került </w:t>
      </w:r>
      <w:proofErr w:type="spellStart"/>
      <w:r>
        <w:rPr>
          <w:rFonts w:ascii="Times New Roman" w:hAnsi="Times New Roman" w:cs="Times New Roman"/>
          <w:sz w:val="24"/>
          <w:szCs w:val="24"/>
        </w:rPr>
        <w:t>cervix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citológiai minták folyadékalapú feldolgozást követően, standardizált módon kerültek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tágylemezre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sejtdenzitás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azonban így is nagyon változatosnak bizonyult. A 10e4 vizsgálati sejt valójában egy fluoreszcens paraméterek által meghatározott, előszűrt hámsejt populációt jelentett, melyből számos zavaró tényező, így pl.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granulocyták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piknotikus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 ki voltak zárva. A megjelölt sejtmennyiség hosszabb kísérletezést követően tapasztalatilag, a célszerűség figyelembe vételével került meghatározásra: sokkal több sejtet bevonni a mérésbe jelentős időráfordítással lehetett volna, míg kevesebb sejtből a statisztikai eloszlás megítélése lett volna ingatag. A kérdéses sejttípusok (</w:t>
      </w:r>
      <w:proofErr w:type="gramStart"/>
      <w:r>
        <w:rPr>
          <w:rFonts w:ascii="Times New Roman" w:hAnsi="Times New Roman" w:cs="Times New Roman"/>
          <w:sz w:val="24"/>
          <w:szCs w:val="24"/>
        </w:rPr>
        <w:t>5c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9c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aneuploid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sejtek) a súlyosabb esetekben </w:t>
      </w:r>
      <w:r>
        <w:rPr>
          <w:rFonts w:ascii="Times New Roman" w:hAnsi="Times New Roman" w:cs="Times New Roman"/>
          <w:sz w:val="24"/>
          <w:szCs w:val="24"/>
        </w:rPr>
        <w:lastRenderedPageBreak/>
        <w:t>olyan mértékben voltak jelen, hogy az illető mintatípust jól reprezentálták. Érzékelem a kérdés kritikai élét, mert lényegében a 10.000-es esetszám jelenleg nem számít különlegesen szenzitív megközelítésnek. Örök kérdés ugyanakkor, hogy ha egy új módszer alkalmazásakor a vizsgálat érzékenységét, energiáinkat nem kímélve, lényegesen megnöveljük, akkor is kapunk-e még klinikailag is értelmezhető adatokat?</w:t>
      </w:r>
    </w:p>
    <w:p w:rsidR="004D34AA" w:rsidRPr="004E2AE6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AA" w:rsidRPr="00497AD9" w:rsidRDefault="004D34AA" w:rsidP="00497AD9">
      <w:pPr>
        <w:pStyle w:val="Listaszerbekezds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AD9">
        <w:rPr>
          <w:rFonts w:ascii="Times New Roman" w:hAnsi="Times New Roman" w:cs="Times New Roman"/>
          <w:i/>
          <w:sz w:val="24"/>
          <w:szCs w:val="24"/>
        </w:rPr>
        <w:t xml:space="preserve">Mivel magyarázható, hogy a súlyosabb (HSIL)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atípiákban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a 9c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poliploidia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szignifikánsan gyakoribb, míg az 5c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atípia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nem?</w:t>
      </w:r>
    </w:p>
    <w:p w:rsidR="004D34AA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súlyos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aneuploidiát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atípia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részeként </w:t>
      </w:r>
      <w:proofErr w:type="spellStart"/>
      <w:r>
        <w:rPr>
          <w:rFonts w:ascii="Times New Roman" w:hAnsi="Times New Roman" w:cs="Times New Roman"/>
          <w:sz w:val="24"/>
          <w:szCs w:val="24"/>
        </w:rPr>
        <w:t>cervix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citológiai mintákban egyértelműen a HPV fertőzés hatásával hozzuk összefüggésbe. Ezen egyszerű elv szerint minél súlyosabb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atípia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annál több és súlyosabban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aneuploid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esemény várható.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aneuploid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 fokozatosan, sok hibás sejtciklus következtében, hosszú idő alatt alakulnak ki, melynek rendje szerint a magasabb fokú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aneuploidia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hibák (</w:t>
      </w:r>
      <w:proofErr w:type="spellStart"/>
      <w:r>
        <w:rPr>
          <w:rFonts w:ascii="Times New Roman" w:hAnsi="Times New Roman" w:cs="Times New Roman"/>
          <w:sz w:val="24"/>
          <w:szCs w:val="24"/>
        </w:rPr>
        <w:t>non-diszjunkció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szegregációs zavar, kromoszómavesztés, törés, stb.) ismételt akkumulációiból ered. Logikusan az 5c DNS-tartalomból egyes esetekben fokozatosan lesz 9c, így ezen sejtek száma alacsonyabb.  A HPV fertőzés és következményes </w:t>
      </w:r>
      <w:proofErr w:type="spellStart"/>
      <w:r>
        <w:rPr>
          <w:rFonts w:ascii="Times New Roman" w:hAnsi="Times New Roman" w:cs="Times New Roman"/>
          <w:sz w:val="24"/>
          <w:szCs w:val="24"/>
        </w:rPr>
        <w:t>atípia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jelei LSIL és HSIL esetén is jelen vannak, HSIL kapcsán azonban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diszplázia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súlyosabb, ami részben óriássejtekkel,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hiperkromáziával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stb. másrészt súlyosabb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aneuploidiával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jellemezhető.</w:t>
      </w:r>
    </w:p>
    <w:p w:rsidR="004D34AA" w:rsidRPr="004E2AE6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34AA" w:rsidRPr="00497AD9" w:rsidRDefault="004D34AA" w:rsidP="00497AD9">
      <w:pPr>
        <w:pStyle w:val="Listaszerbekezds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AD9">
        <w:rPr>
          <w:rFonts w:ascii="Times New Roman" w:hAnsi="Times New Roman" w:cs="Times New Roman"/>
          <w:i/>
          <w:sz w:val="24"/>
          <w:szCs w:val="24"/>
        </w:rPr>
        <w:t xml:space="preserve">Mivel magyarázható, hogy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hr-HPV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fertőzésben a súlyos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ploidia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változása nem minden esetben tapasztalható, azaz miért nem 100%?</w:t>
      </w:r>
    </w:p>
    <w:p w:rsidR="004D34AA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szép eredmény lett volna, ha módszerünkkel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</w:rPr>
        <w:t>hr-HPV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fertőzésre specifikus markert tudunk azonosítani. Sajnos vizsgálataink során súlyos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aneuploid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hr-HPV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pozitív esetek 60%-ában találtunk. Ennek magyarázatára nyilván figyelembe kell venni, 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atípia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kialakulásához, ezen belül pedig a súlyos jelek, mint a már említett kifejezett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aneupoid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 kialakulásához feltehetően időre van szükség. Világos,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hr-HPV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asszociált transzformáció kifejezetten lassú folyamat, a fertőzések nagy része ráadásul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regrediál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spontán elmúlik. A módszerünkkel azonosított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aneuploid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óriássejtek fokozatos megjelenéséhez akár évek is kellhetnek, így a korai formában azonosított esetek ezt a jellemvonást nem feltétlenül mutatják</w:t>
      </w:r>
      <w:r w:rsidR="00A95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Szintén nem vizsgáltuk, de különbség lehet az egyes HPV típusok óriássejt indukáló hatásában, az egyéni hajlamban és persze ott van még a mérési pontatlanságok kérdése is.</w:t>
      </w:r>
    </w:p>
    <w:p w:rsidR="004D34AA" w:rsidRPr="004E2AE6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4AA" w:rsidRPr="00497AD9" w:rsidRDefault="004D34AA" w:rsidP="00497AD9">
      <w:pPr>
        <w:pStyle w:val="Listaszerbekezds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AD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Mi indokolja, hogy a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kromoszomális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kiegyensúlyozatlanság vizsgálatára a citológiai mintákban pont a 3-as és a 17-es kromoszómák kópiaszámát határozták meg?</w:t>
      </w:r>
    </w:p>
    <w:p w:rsidR="004D34AA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nagyfokú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95AD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oiditás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zavar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kromoszomális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hátterének elemzését egyszerű, de mégis az egyes sejtek szintjén is informatív módon próbáltuk megközelíteni. Itt is többféle megközelítésből került kiválasztásra a két prominens kromoszóma FISH vizsgálata, fontos szempontként kiemelve, hogy igen gyakran érintett kromoszómákról van szó, melyek azonosítása a jól működő DNS-próbákkal megfelelően elvégezhető. Egy-egy sejt esetében a 2+2 FISH szignál még megfelelően kezelhetőnek bizonyult, bár többes jelöléseket is alkalmaztunk.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aneuploid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sejtekben a 2 jel rendszerint a többszörösére szaporodott, a kiegyensúlyozatlanság mértékéről a legegyszerűbb módon a jelek aránypárba állításával kaphattunk képet. Lehet, hogy a megközelítés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a két kromoszómát reprezentáló aránypár ezzel együtt hatékonyan mutatta a sejtosztódási hibák sorozatából adódó egyensúlyvesztést, azaz a DNS mérésekkel már kimutatott súlyos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aneuploidia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alapjelenségét.</w:t>
      </w:r>
    </w:p>
    <w:p w:rsidR="004D34AA" w:rsidRPr="004E2AE6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34AA" w:rsidRPr="00497AD9" w:rsidRDefault="004D34AA" w:rsidP="00497AD9">
      <w:pPr>
        <w:pStyle w:val="Listaszerbekezds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Neuroblasztomában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a primer tumor és a csontvelői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disszeminált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sejtek összehasonlításakor egyetlen esetben sem találtak genetikai különbséget?</w:t>
      </w:r>
    </w:p>
    <w:p w:rsidR="004D34AA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Neuroblasztomában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csontvelői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disszemináció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kimutatása önmagában is jelentős kihívás volt, mivel igazán specifikus markermolekulát korábban nem ismertek.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gangliozid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GD2 sejtfelszíni marker kísérleteink előtt nem sokkal jelent meg a szakirodalomban és még kommerciális antitest sem létezett, tudományos kollaboráció keretében jutottunk hozzá. Eredményeink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disszeminált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tumor sejtek a vártnál nagyobb gyakoriságát igazolták. A csontvelői érintettség prognosztikai jelentőségével egy időben kerültek előtérbe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neuroblas</w:t>
      </w:r>
      <w:r w:rsidR="00A95AD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kimenetelét befolyásoló genetikai elváltozások, melyeket célzottan,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 hibridizációval az általunk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automatizáció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segítségével beazonosított csontvelői daganatsejtekben is ki tudtunk mutatni. A célzott vizsgálatok (</w:t>
      </w:r>
      <w:proofErr w:type="spellStart"/>
      <w:r>
        <w:rPr>
          <w:rFonts w:ascii="Times New Roman" w:hAnsi="Times New Roman" w:cs="Times New Roman"/>
          <w:sz w:val="24"/>
          <w:szCs w:val="24"/>
        </w:rPr>
        <w:t>N-myc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amlifikáció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1p36 </w:t>
      </w:r>
      <w:proofErr w:type="spellStart"/>
      <w:r>
        <w:rPr>
          <w:rFonts w:ascii="Times New Roman" w:hAnsi="Times New Roman" w:cs="Times New Roman"/>
          <w:sz w:val="24"/>
          <w:szCs w:val="24"/>
        </w:rPr>
        <w:t>deléció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17q </w:t>
      </w:r>
      <w:proofErr w:type="gramStart"/>
      <w:r>
        <w:rPr>
          <w:rFonts w:ascii="Times New Roman" w:hAnsi="Times New Roman" w:cs="Times New Roman"/>
          <w:sz w:val="24"/>
          <w:szCs w:val="24"/>
        </w:rPr>
        <w:t>régió</w:t>
      </w:r>
      <w:r w:rsidR="00A95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nyerés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 leggyakrabban észlelt és így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neuroblasztomában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kliniko-genetikai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besorolás szempontjából lényegesnek tartott eltérésekre irányultak és nyilvánvalóan nem fedték le a daganat progressziója kapcsán bekövetkező másodlagos genetikai hibák lehetőségeit. Kérdésünket is úgy fogalmaztuk meg, hogy vajon lehet-e összefüggésben az említett eltérések heterogenitása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disszemináció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jelenségével. Ebből a szempontból annyit lehet vizsgálataink nyomán kijelenteni, hogy a három megvizsgált citogenetikai markerre vonatkozóan jelentős különbségek a primer tumor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disszeminált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daganatsejtek között nem voltak. 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disszeminált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daganatsejtek és a primer tumor közötti genetikai különbségeket legjobban a komparatív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genomhibridizáció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módszerével lehet kimutatni, melyre több daganatfélében sor is került, számomra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neuroblasztomában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egyetlen ilyen tanulmány ismert 2012-ből,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Speleman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munkacsoportjából </w:t>
      </w:r>
      <w:r w:rsidRPr="000E65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6589">
        <w:rPr>
          <w:rFonts w:ascii="Times New Roman" w:hAnsi="Times New Roman" w:cs="Times New Roman"/>
          <w:sz w:val="24"/>
          <w:szCs w:val="24"/>
        </w:rPr>
        <w:t>Vandewoestyne</w:t>
      </w:r>
      <w:proofErr w:type="spellEnd"/>
      <w:r w:rsidRPr="000E6589">
        <w:rPr>
          <w:rFonts w:ascii="Times New Roman" w:hAnsi="Times New Roman" w:cs="Times New Roman"/>
          <w:sz w:val="24"/>
          <w:szCs w:val="24"/>
        </w:rPr>
        <w:t xml:space="preserve"> M, Int J </w:t>
      </w:r>
      <w:proofErr w:type="spellStart"/>
      <w:r w:rsidRPr="000E6589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0E6589">
        <w:rPr>
          <w:rFonts w:ascii="Times New Roman" w:hAnsi="Times New Roman" w:cs="Times New Roman"/>
          <w:sz w:val="24"/>
          <w:szCs w:val="24"/>
        </w:rPr>
        <w:t>, 2012)</w:t>
      </w:r>
      <w:r>
        <w:rPr>
          <w:rFonts w:ascii="Times New Roman" w:hAnsi="Times New Roman" w:cs="Times New Roman"/>
          <w:sz w:val="24"/>
          <w:szCs w:val="24"/>
        </w:rPr>
        <w:t xml:space="preserve">. És természetesen újabban itt vannak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egysejt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szekvenálásra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alkalmas platformok is.</w:t>
      </w:r>
    </w:p>
    <w:p w:rsidR="004D34AA" w:rsidRPr="004E2AE6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34AA" w:rsidRPr="00497AD9" w:rsidRDefault="004D34AA" w:rsidP="00497AD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AD9">
        <w:rPr>
          <w:rFonts w:ascii="Times New Roman" w:hAnsi="Times New Roman" w:cs="Times New Roman"/>
          <w:i/>
          <w:sz w:val="24"/>
          <w:szCs w:val="24"/>
        </w:rPr>
        <w:t xml:space="preserve">Előrehaladott emlőrákos betegek perifériás vérében daganatsejteket tudtak kimutatni. Mi volt az előrehaladottság kritériuma? Hogyan viszonyul mindez a jelenleg széles körben elérhető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CellSearch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IVD technológia által meghatározott határértékekhez?</w:t>
      </w:r>
    </w:p>
    <w:p w:rsidR="004D34AA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Vizsgálatainkban az előrehaladott stádium meghatározás valójában a nemzetközi klinikai szakirodalomban használatos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azaz III-IV. </w:t>
      </w:r>
      <w:proofErr w:type="gramStart"/>
      <w:r>
        <w:rPr>
          <w:rFonts w:ascii="Times New Roman" w:hAnsi="Times New Roman" w:cs="Times New Roman"/>
          <w:sz w:val="24"/>
          <w:szCs w:val="24"/>
        </w:rPr>
        <w:t>stádiumú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metasztatikus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emlőrákot jelentette. Vizsgálati hipotézisünknek megfelelően a vérből végzett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tumorsejt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azonosítás technikai részleteinek tisztázása egyszerűbben kivitelezhető viszonylag gyakoribb pozitív események kapcsán. Viszonylag kis esetszámú és csak részben publikált tanulmányunkban egyértelműen megmutatkozott, hogy a perifériás vérben keringő daganatsejtek (CTC) mennyisége a klinikai stádiummal szoros összefüggést mutat, és az irodalomból az is ismert,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tumortömeg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csökkentésekor (emlő </w:t>
      </w:r>
      <w:proofErr w:type="spellStart"/>
      <w:r>
        <w:rPr>
          <w:rFonts w:ascii="Times New Roman" w:hAnsi="Times New Roman" w:cs="Times New Roman"/>
          <w:sz w:val="24"/>
          <w:szCs w:val="24"/>
        </w:rPr>
        <w:t>abláció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metasztatektómia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CTC mennyisége is visszaesik. Ismert továbbá, hogy a daganatsejt koncentráció bizonyos hatásokra (stressz, hormon, sőt, fizikai terhelés) fokozódhat, változhat, a fellelhető sejttömeg tehát elég dinamikusan alakul. Mindezek mellett igen izgalmas az újabb és egyre érzékenyebb technikai platformokra helyezett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tumorsejt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kimutatás szűnni nem akaró előre törése. Ennek egy rendkívül ígéretes változata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márkenéven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forgalomba került műszeres teszt, mely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immunomágneses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dúsítást követően automatizált fluoreszcens képanalízis módszerével azonosítja a sejteket. A vizsgálat itt 7,5 ml vérből készül és a dúsítás révén hatásfoka minden bizonnyal magasabb lehet, mint az általunk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kidolgoztott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ml vérből, pusztán automatizált képanalízist felvonultató technika. Az 5-6 évvel korábban kifejlesztett, teljesen nyitott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készülékre épülő módszerünk nem rendelkezett integrált, sejtdúsítást lehetővé tevő funkcióval,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 tehát mindenképpen előrehaladottabb platformot képvisel. A széles körben folytatott klinikai vizsgálatok ezzel az emelt érzékenységgel klinikai relevanciát a több, mint 5 </w:t>
      </w:r>
      <w:proofErr w:type="spellStart"/>
      <w:r>
        <w:rPr>
          <w:rFonts w:ascii="Times New Roman" w:hAnsi="Times New Roman" w:cs="Times New Roman"/>
          <w:sz w:val="24"/>
          <w:szCs w:val="24"/>
        </w:rPr>
        <w:t>CTC-t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mutató esetekben tudtak igazolni (177 beteg túlélésének elemzésével)(Hayes DF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 2006). Még izgalmasabb, hogy 2011-es adatok szerint (</w:t>
      </w:r>
      <w:proofErr w:type="spellStart"/>
      <w:r>
        <w:rPr>
          <w:rFonts w:ascii="Times New Roman" w:hAnsi="Times New Roman" w:cs="Times New Roman"/>
          <w:sz w:val="24"/>
          <w:szCs w:val="24"/>
        </w:rPr>
        <w:t>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metasztatikus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emlőrákok esetében 5 héttel az eltávolító műtét után még 50%-ban tudtak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CTC-t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azonosítani. Érzésem szerint a képanalízisen alapuló technikákat hamarosan felválthatják majd az érzékeny molekuláris módszereket alkalmazó tesztek. A keringő daganatsejteknek további fontos klinikai szerep juthat pl. a progresszióra hajlamosító másodlagos mutációk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kimutatásának, amely egy teljesen más technológiát, az egyes sejtek új generációs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szekvenálásának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módszerét igényli és az első eredmények már meg is jelentek (pl. a firenzei </w:t>
      </w:r>
      <w:proofErr w:type="spellStart"/>
      <w:r>
        <w:rPr>
          <w:rFonts w:ascii="Times New Roman" w:hAnsi="Times New Roman" w:cs="Times New Roman"/>
          <w:sz w:val="24"/>
          <w:szCs w:val="24"/>
        </w:rPr>
        <w:t>Pinzani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és munkacsoportja).</w:t>
      </w:r>
    </w:p>
    <w:p w:rsidR="004D34AA" w:rsidRPr="000437A5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4AA" w:rsidRPr="00497AD9" w:rsidRDefault="004D34AA" w:rsidP="00497AD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AD9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proliferációs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index és az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AuB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expresszió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összefüggéseinek ismeretében emlőrákokban a receptor pozitív vagy a tripla-negatív csoportban van-e szerepe az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AuB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AD9">
        <w:rPr>
          <w:rFonts w:ascii="Times New Roman" w:hAnsi="Times New Roman" w:cs="Times New Roman"/>
          <w:i/>
          <w:sz w:val="24"/>
          <w:szCs w:val="24"/>
        </w:rPr>
        <w:t>kináznak</w:t>
      </w:r>
      <w:proofErr w:type="spellEnd"/>
      <w:r w:rsidRPr="00497AD9">
        <w:rPr>
          <w:rFonts w:ascii="Times New Roman" w:hAnsi="Times New Roman" w:cs="Times New Roman"/>
          <w:i/>
          <w:sz w:val="24"/>
          <w:szCs w:val="24"/>
        </w:rPr>
        <w:t>?</w:t>
      </w:r>
    </w:p>
    <w:p w:rsidR="004D34AA" w:rsidRPr="00FE42D1" w:rsidRDefault="004D34AA" w:rsidP="00497AD9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Munkáink során a magas </w:t>
      </w: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hátterében két mechanizmust feltételeztünk: a magas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sejtproliferáció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esetén értelemszerűen emelkedett a sejtciklus G2/M fázisában fiziológiásan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expresszált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mely tehát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 index változását nem eredményezte. Ezzel szemben a </w:t>
      </w:r>
      <w:proofErr w:type="gramStart"/>
      <w:r>
        <w:rPr>
          <w:rFonts w:ascii="Times New Roman" w:hAnsi="Times New Roman" w:cs="Times New Roman"/>
          <w:sz w:val="24"/>
          <w:szCs w:val="24"/>
        </w:rPr>
        <w:t>fokozott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szabályozási defektusát vetíti előre. A sejtciklustól független </w:t>
      </w: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mitotikus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hibákat és ezzel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aneuploidia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jelenségét</w:t>
      </w:r>
      <w:r w:rsidRPr="00AF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valószínűsítik, ennek klinikai jelentősége viszont önmagában, nagy esetszámok alapján még nem bizonyított. A receptor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emlőrákok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proliferációja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viszonylag alacsony és itt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kiegyensúlyozott, dereguláció jelensége alig fordul elő, ráadásul biológiai kezelésük alaphelyzetben adott. Ismert ugyanakkor,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tamoxifen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rezisztens emlőrákokban magasabb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expressziója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ez a jelenség kísérletesen is indukálható (</w:t>
      </w:r>
      <w:proofErr w:type="spellStart"/>
      <w:r>
        <w:rPr>
          <w:rFonts w:ascii="Times New Roman" w:hAnsi="Times New Roman" w:cs="Times New Roman"/>
          <w:sz w:val="24"/>
          <w:szCs w:val="24"/>
        </w:rPr>
        <w:t>Larsen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SL, BMC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2015). Ezzel szemben a tripla-negatív tumorok alaphelyzetben is igen agresszívak,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proliferációs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aktivitásuk általánosságban magas, magas </w:t>
      </w: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expresszióval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tripla-negatív emlőrákok terápiás megközelítése jelenleg a legproblémásabb, mivel specifikus terápia nem áll rendelkezésre. A legújabb eredmények szerint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expresszáló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triple-negatív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tumorok </w:t>
      </w:r>
      <w:proofErr w:type="spellStart"/>
      <w:r>
        <w:rPr>
          <w:rFonts w:ascii="Times New Roman" w:hAnsi="Times New Roman" w:cs="Times New Roman"/>
          <w:sz w:val="24"/>
          <w:szCs w:val="24"/>
        </w:rPr>
        <w:t>Au-kináz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gátlókra csökkentik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sejtproliferációt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oktaploidizációt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követően sejthalállal reagálnak (</w:t>
      </w:r>
      <w:proofErr w:type="spellStart"/>
      <w:r>
        <w:rPr>
          <w:rFonts w:ascii="Times New Roman" w:hAnsi="Times New Roman" w:cs="Times New Roman"/>
          <w:sz w:val="24"/>
          <w:szCs w:val="24"/>
        </w:rPr>
        <w:t>Kawai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2014; </w:t>
      </w:r>
      <w:proofErr w:type="spellStart"/>
      <w:r>
        <w:rPr>
          <w:rFonts w:ascii="Times New Roman" w:hAnsi="Times New Roman" w:cs="Times New Roman"/>
          <w:sz w:val="24"/>
          <w:szCs w:val="24"/>
        </w:rPr>
        <w:t>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Mol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2015). A valamely okból jelentős </w:t>
      </w: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expressziót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mutató, egyéb célmolekulával nem rendelkező, vagy rezisztens </w:t>
      </w:r>
      <w:proofErr w:type="spellStart"/>
      <w:r>
        <w:rPr>
          <w:rFonts w:ascii="Times New Roman" w:hAnsi="Times New Roman" w:cs="Times New Roman"/>
          <w:sz w:val="24"/>
          <w:szCs w:val="24"/>
        </w:rPr>
        <w:t>emlőtumorok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ezért kifejezetten jó célpontjai lehetnek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gátló terápiának. </w:t>
      </w:r>
    </w:p>
    <w:p w:rsidR="004D34AA" w:rsidRDefault="004D34AA" w:rsidP="00497AD9">
      <w:pPr>
        <w:jc w:val="both"/>
      </w:pPr>
    </w:p>
    <w:p w:rsidR="004D34AA" w:rsidRPr="004E2AE6" w:rsidRDefault="004D34AA" w:rsidP="00497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2016. április 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Méhes Gábor</w:t>
      </w:r>
    </w:p>
    <w:sectPr w:rsidR="004D34AA" w:rsidRPr="004E2AE6" w:rsidSect="00385D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B2" w:rsidRDefault="00370AB2" w:rsidP="004D34AA">
      <w:pPr>
        <w:spacing w:after="0" w:line="240" w:lineRule="auto"/>
      </w:pPr>
      <w:r>
        <w:separator/>
      </w:r>
    </w:p>
  </w:endnote>
  <w:endnote w:type="continuationSeparator" w:id="0">
    <w:p w:rsidR="00370AB2" w:rsidRDefault="00370AB2" w:rsidP="004D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389"/>
      <w:docPartObj>
        <w:docPartGallery w:val="Page Numbers (Bottom of Page)"/>
        <w:docPartUnique/>
      </w:docPartObj>
    </w:sdtPr>
    <w:sdtContent>
      <w:p w:rsidR="004D34AA" w:rsidRDefault="00845B52">
        <w:pPr>
          <w:pStyle w:val="llb"/>
          <w:jc w:val="right"/>
        </w:pPr>
        <w:fldSimple w:instr=" PAGE   \* MERGEFORMAT ">
          <w:r w:rsidR="00AB2DC1">
            <w:rPr>
              <w:noProof/>
            </w:rPr>
            <w:t>1</w:t>
          </w:r>
        </w:fldSimple>
      </w:p>
    </w:sdtContent>
  </w:sdt>
  <w:p w:rsidR="004D34AA" w:rsidRDefault="004D34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B2" w:rsidRDefault="00370AB2" w:rsidP="004D34AA">
      <w:pPr>
        <w:spacing w:after="0" w:line="240" w:lineRule="auto"/>
      </w:pPr>
      <w:r>
        <w:separator/>
      </w:r>
    </w:p>
  </w:footnote>
  <w:footnote w:type="continuationSeparator" w:id="0">
    <w:p w:rsidR="00370AB2" w:rsidRDefault="00370AB2" w:rsidP="004D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C6E"/>
    <w:multiLevelType w:val="multilevel"/>
    <w:tmpl w:val="C6CAC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660A58BF"/>
    <w:multiLevelType w:val="hybridMultilevel"/>
    <w:tmpl w:val="04826F66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93C"/>
    <w:multiLevelType w:val="hybridMultilevel"/>
    <w:tmpl w:val="F82A09B0"/>
    <w:lvl w:ilvl="0" w:tplc="352A11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AA"/>
    <w:rsid w:val="00010656"/>
    <w:rsid w:val="00370AB2"/>
    <w:rsid w:val="00385D4B"/>
    <w:rsid w:val="00497AD9"/>
    <w:rsid w:val="004D34AA"/>
    <w:rsid w:val="00845B52"/>
    <w:rsid w:val="009661EA"/>
    <w:rsid w:val="00A95AD4"/>
    <w:rsid w:val="00AB2DC1"/>
    <w:rsid w:val="00BB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4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4A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D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34AA"/>
  </w:style>
  <w:style w:type="paragraph" w:styleId="llb">
    <w:name w:val="footer"/>
    <w:basedOn w:val="Norml"/>
    <w:link w:val="llbChar"/>
    <w:uiPriority w:val="99"/>
    <w:unhideWhenUsed/>
    <w:rsid w:val="004D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3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1887</Words>
  <Characters>13023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Méhes Gábor</dc:creator>
  <cp:lastModifiedBy>Dr. Méhes Gábor</cp:lastModifiedBy>
  <cp:revision>3</cp:revision>
  <cp:lastPrinted>2016-04-19T06:24:00Z</cp:lastPrinted>
  <dcterms:created xsi:type="dcterms:W3CDTF">2016-04-19T06:51:00Z</dcterms:created>
  <dcterms:modified xsi:type="dcterms:W3CDTF">2016-04-19T07:04:00Z</dcterms:modified>
</cp:coreProperties>
</file>